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line="620" w:lineRule="exact"/>
        <w:jc w:val="left"/>
        <w:rPr>
          <w:rFonts w:ascii="仿宋_GB2312" w:eastAsia="仿宋_GB2312"/>
          <w:sz w:val="28"/>
          <w:szCs w:val="28"/>
        </w:rPr>
      </w:pPr>
      <w:r>
        <w:rPr>
          <w:rFonts w:hint="eastAsia" w:ascii="仿宋_GB2312" w:eastAsia="仿宋_GB2312" w:cs="仿宋_GB2312"/>
          <w:sz w:val="28"/>
          <w:szCs w:val="28"/>
        </w:rPr>
        <w:t>附件</w:t>
      </w:r>
      <w:r>
        <w:rPr>
          <w:rFonts w:ascii="仿宋_GB2312" w:eastAsia="仿宋_GB2312" w:cs="仿宋_GB2312"/>
          <w:sz w:val="28"/>
          <w:szCs w:val="28"/>
        </w:rPr>
        <w:t>1</w:t>
      </w:r>
    </w:p>
    <w:p>
      <w:pPr>
        <w:tabs>
          <w:tab w:val="center" w:pos="6979"/>
        </w:tabs>
        <w:spacing w:line="620" w:lineRule="exact"/>
        <w:jc w:val="center"/>
        <w:rPr>
          <w:rFonts w:eastAsia="方正小标宋简体"/>
          <w:sz w:val="28"/>
          <w:szCs w:val="28"/>
        </w:rPr>
      </w:pPr>
      <w:r>
        <w:rPr>
          <w:rFonts w:hint="eastAsia" w:ascii="方正小标宋简体" w:eastAsia="方正小标宋简体" w:cs="方正小标宋简体"/>
          <w:sz w:val="30"/>
          <w:szCs w:val="30"/>
        </w:rPr>
        <w:t>2020年度部门整体支出绩效评价指标评分表</w:t>
      </w:r>
    </w:p>
    <w:tbl>
      <w:tblPr>
        <w:tblStyle w:val="5"/>
        <w:tblW w:w="14523" w:type="dxa"/>
        <w:jc w:val="center"/>
        <w:tblLayout w:type="fixed"/>
        <w:tblCellMar>
          <w:top w:w="0" w:type="dxa"/>
          <w:left w:w="28" w:type="dxa"/>
          <w:bottom w:w="0" w:type="dxa"/>
          <w:right w:w="28" w:type="dxa"/>
        </w:tblCellMar>
      </w:tblPr>
      <w:tblGrid>
        <w:gridCol w:w="386"/>
        <w:gridCol w:w="379"/>
        <w:gridCol w:w="379"/>
        <w:gridCol w:w="486"/>
        <w:gridCol w:w="1185"/>
        <w:gridCol w:w="465"/>
        <w:gridCol w:w="3045"/>
        <w:gridCol w:w="7665"/>
        <w:gridCol w:w="533"/>
      </w:tblGrid>
      <w:tr>
        <w:tblPrEx>
          <w:tblCellMar>
            <w:top w:w="0" w:type="dxa"/>
            <w:left w:w="28" w:type="dxa"/>
            <w:bottom w:w="0" w:type="dxa"/>
            <w:right w:w="28" w:type="dxa"/>
          </w:tblCellMar>
        </w:tblPrEx>
        <w:trPr>
          <w:trHeight w:val="180" w:hRule="atLeast"/>
          <w:tblHeader/>
          <w:jc w:val="center"/>
        </w:trPr>
        <w:tc>
          <w:tcPr>
            <w:tcW w:w="32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评价指标</w:t>
            </w:r>
          </w:p>
        </w:tc>
        <w:tc>
          <w:tcPr>
            <w:tcW w:w="3045"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指标说明</w:t>
            </w:r>
          </w:p>
        </w:tc>
        <w:tc>
          <w:tcPr>
            <w:tcW w:w="7665"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参考评分标准</w:t>
            </w:r>
          </w:p>
        </w:tc>
        <w:tc>
          <w:tcPr>
            <w:tcW w:w="533" w:type="dxa"/>
            <w:vMerge w:val="restart"/>
            <w:tcBorders>
              <w:top w:val="single" w:color="auto" w:sz="4" w:space="0"/>
              <w:left w:val="nil"/>
              <w:right w:val="single" w:color="auto" w:sz="4" w:space="0"/>
            </w:tcBorders>
            <w:vAlign w:val="center"/>
          </w:tcPr>
          <w:p>
            <w:pPr>
              <w:widowControl/>
              <w:jc w:val="center"/>
              <w:rPr>
                <w:rFonts w:ascii="黑体" w:hAnsi="黑体" w:eastAsia="黑体" w:cs="黑体"/>
                <w:kern w:val="0"/>
              </w:rPr>
            </w:pPr>
            <w:r>
              <w:rPr>
                <w:rFonts w:hint="eastAsia" w:ascii="黑体" w:hAnsi="黑体" w:eastAsia="黑体" w:cs="黑体"/>
                <w:kern w:val="0"/>
              </w:rPr>
              <w:t>自评得分</w:t>
            </w:r>
          </w:p>
        </w:tc>
      </w:tr>
      <w:tr>
        <w:tblPrEx>
          <w:tblCellMar>
            <w:top w:w="0" w:type="dxa"/>
            <w:left w:w="28" w:type="dxa"/>
            <w:bottom w:w="0" w:type="dxa"/>
            <w:right w:w="28" w:type="dxa"/>
          </w:tblCellMar>
        </w:tblPrEx>
        <w:trPr>
          <w:trHeight w:val="463" w:hRule="atLeast"/>
          <w:tblHeader/>
          <w:jc w:val="center"/>
        </w:trPr>
        <w:tc>
          <w:tcPr>
            <w:tcW w:w="765"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一级指标</w:t>
            </w:r>
          </w:p>
        </w:tc>
        <w:tc>
          <w:tcPr>
            <w:tcW w:w="865"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二级指标</w:t>
            </w:r>
          </w:p>
        </w:tc>
        <w:tc>
          <w:tcPr>
            <w:tcW w:w="1650"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三级指标</w:t>
            </w:r>
          </w:p>
        </w:tc>
        <w:tc>
          <w:tcPr>
            <w:tcW w:w="3045"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665"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533" w:type="dxa"/>
            <w:vMerge w:val="continue"/>
            <w:tcBorders>
              <w:left w:val="nil"/>
              <w:right w:val="single" w:color="auto" w:sz="4" w:space="0"/>
            </w:tcBorders>
            <w:vAlign w:val="center"/>
          </w:tcPr>
          <w:p>
            <w:pPr>
              <w:jc w:val="center"/>
              <w:rPr>
                <w:rFonts w:ascii="黑体" w:hAnsi="黑体" w:eastAsia="黑体"/>
                <w:kern w:val="0"/>
                <w:sz w:val="15"/>
                <w:szCs w:val="15"/>
              </w:rPr>
            </w:pPr>
          </w:p>
        </w:tc>
      </w:tr>
      <w:tr>
        <w:tblPrEx>
          <w:tblCellMar>
            <w:top w:w="0" w:type="dxa"/>
            <w:left w:w="28" w:type="dxa"/>
            <w:bottom w:w="0" w:type="dxa"/>
            <w:right w:w="28" w:type="dxa"/>
          </w:tblCellMar>
        </w:tblPrEx>
        <w:trPr>
          <w:trHeight w:val="180" w:hRule="atLeast"/>
          <w:tblHeader/>
          <w:jc w:val="center"/>
        </w:trPr>
        <w:tc>
          <w:tcPr>
            <w:tcW w:w="38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118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045"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665"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533" w:type="dxa"/>
            <w:vMerge w:val="continue"/>
            <w:tcBorders>
              <w:left w:val="nil"/>
              <w:bottom w:val="single" w:color="auto" w:sz="4" w:space="0"/>
              <w:right w:val="single" w:color="auto" w:sz="4" w:space="0"/>
            </w:tcBorders>
            <w:vAlign w:val="center"/>
          </w:tcPr>
          <w:p>
            <w:pPr>
              <w:widowControl/>
              <w:jc w:val="center"/>
              <w:rPr>
                <w:rFonts w:ascii="黑体" w:hAnsi="黑体" w:eastAsia="黑体"/>
                <w:kern w:val="0"/>
                <w:sz w:val="15"/>
                <w:szCs w:val="15"/>
              </w:rPr>
            </w:pPr>
          </w:p>
        </w:tc>
      </w:tr>
      <w:tr>
        <w:tblPrEx>
          <w:tblCellMar>
            <w:top w:w="0" w:type="dxa"/>
            <w:left w:w="28" w:type="dxa"/>
            <w:bottom w:w="0" w:type="dxa"/>
            <w:right w:w="28" w:type="dxa"/>
          </w:tblCellMar>
        </w:tblPrEx>
        <w:trPr>
          <w:trHeight w:val="2643"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部门决策</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25</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10</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部门（单位）预算的合理性，即是否符合本部门职责、是否符合区委区政府的方针政策和工作要求，资金有无根据项目的轻重缓急进行分配。</w:t>
            </w:r>
          </w:p>
        </w:tc>
        <w:tc>
          <w:tcPr>
            <w:tcW w:w="7665"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部门预算编制、分配符合本部门职责、符合区委区政府方针政策和工作要求（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部门预算资金能根据年度工作重点，在不同项目、不同用途之间合理分配（</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3.</w:t>
            </w:r>
            <w:r>
              <w:rPr>
                <w:rFonts w:hint="eastAsia" w:ascii="宋体" w:hAnsi="宋体" w:cs="宋体"/>
                <w:kern w:val="0"/>
              </w:rPr>
              <w:t>专项资金预算编制细化程度合理，未出现因年中调剂导致部门预决算差异过大问题（</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4.</w:t>
            </w:r>
            <w:r>
              <w:rPr>
                <w:rFonts w:hint="eastAsia" w:ascii="宋体" w:hAnsi="宋体" w:cs="宋体"/>
                <w:kern w:val="0"/>
              </w:rPr>
              <w:t>功能分类和经济分类编制准确，年度中间无大量调剂，未发生项目之间频繁调剂（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5.</w:t>
            </w:r>
            <w:r>
              <w:rPr>
                <w:rFonts w:hint="eastAsia" w:ascii="宋体" w:hAnsi="宋体" w:cs="宋体"/>
                <w:kern w:val="0"/>
              </w:rPr>
              <w:t>部门预算分配不固化，能根据实际情况合理调整，不存在项目支出进度慢、完成率低、绩效较差，但连年持续安排预算等不合理的情况（</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5.00</w:t>
            </w:r>
          </w:p>
        </w:tc>
      </w:tr>
      <w:tr>
        <w:tblPrEx>
          <w:tblCellMar>
            <w:top w:w="0" w:type="dxa"/>
            <w:left w:w="28" w:type="dxa"/>
            <w:bottom w:w="0" w:type="dxa"/>
            <w:right w:w="28" w:type="dxa"/>
          </w:tblCellMar>
        </w:tblPrEx>
        <w:trPr>
          <w:trHeight w:val="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7665"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rPr>
            </w:pPr>
            <w:r>
              <w:rPr>
                <w:rFonts w:ascii="宋体" w:hAnsi="宋体" w:cs="宋体"/>
                <w:kern w:val="0"/>
              </w:rPr>
              <w:t>1.</w:t>
            </w:r>
            <w:r>
              <w:rPr>
                <w:rFonts w:hint="eastAsia" w:ascii="宋体" w:hAnsi="宋体" w:cs="宋体"/>
                <w:kern w:val="0"/>
              </w:rPr>
              <w:t>部门（单位）预算编制符合财政部门当年度关于预算编制的各项原则和要求，符合专项资金预算编制、项目库管理、新增项目事前绩效评估等要求（</w:t>
            </w:r>
            <w:r>
              <w:rPr>
                <w:rFonts w:ascii="宋体" w:hAnsi="宋体" w:cs="宋体"/>
                <w:kern w:val="0"/>
              </w:rPr>
              <w:t>5</w:t>
            </w:r>
            <w:r>
              <w:rPr>
                <w:rFonts w:hint="eastAsia" w:ascii="宋体" w:hAnsi="宋体" w:cs="宋体"/>
                <w:kern w:val="0"/>
              </w:rPr>
              <w:t>分）；</w:t>
            </w:r>
          </w:p>
          <w:p>
            <w:pPr>
              <w:widowControl/>
              <w:spacing w:line="300" w:lineRule="exact"/>
              <w:ind w:firstLine="315" w:firstLineChars="150"/>
              <w:jc w:val="left"/>
              <w:rPr>
                <w:rFonts w:ascii="宋体"/>
                <w:kern w:val="0"/>
              </w:rPr>
            </w:pPr>
            <w:r>
              <w:rPr>
                <w:rFonts w:ascii="宋体" w:hAnsi="宋体" w:cs="宋体"/>
                <w:kern w:val="0"/>
              </w:rPr>
              <w:t>2.</w:t>
            </w:r>
            <w:r>
              <w:rPr>
                <w:rFonts w:hint="eastAsia" w:ascii="宋体" w:hAnsi="宋体" w:cs="宋体"/>
                <w:kern w:val="0"/>
              </w:rPr>
              <w:t>发现一项不符合的扣</w:t>
            </w:r>
            <w:r>
              <w:rPr>
                <w:rFonts w:ascii="宋体" w:hAnsi="宋体" w:cs="宋体"/>
                <w:kern w:val="0"/>
              </w:rPr>
              <w:t>1</w:t>
            </w:r>
            <w:r>
              <w:rPr>
                <w:rFonts w:hint="eastAsia" w:ascii="宋体" w:hAnsi="宋体" w:cs="宋体"/>
                <w:kern w:val="0"/>
              </w:rPr>
              <w:t>分，扣完为止。</w:t>
            </w:r>
          </w:p>
          <w:p>
            <w:pPr>
              <w:widowControl/>
              <w:spacing w:line="300" w:lineRule="exact"/>
              <w:ind w:firstLine="315" w:firstLineChars="150"/>
              <w:jc w:val="left"/>
              <w:rPr>
                <w:rFonts w:ascii="宋体"/>
                <w:kern w:val="0"/>
              </w:rPr>
            </w:pPr>
            <w:r>
              <w:rPr>
                <w:rFonts w:hint="eastAsia" w:ascii="宋体" w:hAnsi="宋体" w:cs="宋体"/>
                <w:kern w:val="0"/>
              </w:rPr>
              <w:t>本指标需对照相应年度由财政部门印发的部门预算编制工作方案、通知和有关制度文件，根据实际情况评分。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5.00</w:t>
            </w:r>
          </w:p>
        </w:tc>
      </w:tr>
      <w:tr>
        <w:tblPrEx>
          <w:tblCellMar>
            <w:top w:w="0" w:type="dxa"/>
            <w:left w:w="28" w:type="dxa"/>
            <w:bottom w:w="0" w:type="dxa"/>
            <w:right w:w="28" w:type="dxa"/>
          </w:tblCellMar>
        </w:tblPrEx>
        <w:trPr>
          <w:trHeight w:val="130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15</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766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部门（单位）按要求编报部门整体和项目的绩效目标，实现绩效目标全覆盖（</w:t>
            </w:r>
            <w:r>
              <w:rPr>
                <w:rFonts w:ascii="宋体" w:hAnsi="宋体" w:cs="宋体"/>
                <w:kern w:val="0"/>
              </w:rPr>
              <w:t>8</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没按要求编报绩效目标或绩效目标不符合要求的，一项扣</w:t>
            </w:r>
            <w:r>
              <w:rPr>
                <w:rFonts w:ascii="宋体" w:hAnsi="宋体" w:cs="宋体"/>
                <w:kern w:val="0"/>
              </w:rPr>
              <w:t>1</w:t>
            </w:r>
            <w:r>
              <w:rPr>
                <w:rFonts w:hint="eastAsia" w:ascii="宋体" w:hAnsi="宋体" w:cs="宋体"/>
                <w:kern w:val="0"/>
              </w:rPr>
              <w:t>分，扣完为止。</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8.00</w:t>
            </w:r>
          </w:p>
        </w:tc>
      </w:tr>
      <w:tr>
        <w:tblPrEx>
          <w:tblCellMar>
            <w:top w:w="0" w:type="dxa"/>
            <w:left w:w="28" w:type="dxa"/>
            <w:bottom w:w="0" w:type="dxa"/>
            <w:right w:w="28" w:type="dxa"/>
          </w:tblCellMar>
        </w:tblPrEx>
        <w:trPr>
          <w:trHeight w:val="14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7</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7665"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ascii="宋体" w:hAnsi="宋体" w:cs="宋体"/>
                <w:kern w:val="0"/>
              </w:rPr>
              <w:t>1.</w:t>
            </w:r>
            <w:r>
              <w:rPr>
                <w:rFonts w:hint="eastAsia" w:ascii="宋体" w:hAnsi="宋体" w:cs="宋体"/>
                <w:kern w:val="0"/>
              </w:rPr>
              <w:t>绩效指标将部门整体绩效目标细化分解为具体工作任务，与部门年度任务数或计划数相对应（</w:t>
            </w:r>
            <w:r>
              <w:rPr>
                <w:rFonts w:ascii="宋体" w:hAnsi="宋体" w:cs="宋体"/>
                <w:kern w:val="0"/>
              </w:rPr>
              <w:t>2</w:t>
            </w:r>
            <w:r>
              <w:rPr>
                <w:rFonts w:hint="eastAsia" w:ascii="宋体" w:hAnsi="宋体" w:cs="宋体"/>
                <w:kern w:val="0"/>
              </w:rPr>
              <w:t>分）；</w:t>
            </w:r>
          </w:p>
          <w:p>
            <w:pPr>
              <w:widowControl/>
              <w:spacing w:line="320" w:lineRule="exact"/>
              <w:ind w:firstLine="420" w:firstLineChars="200"/>
              <w:rPr>
                <w:rFonts w:ascii="宋体"/>
                <w:kern w:val="0"/>
              </w:rPr>
            </w:pPr>
            <w:r>
              <w:rPr>
                <w:rFonts w:ascii="宋体" w:hAnsi="宋体" w:cs="宋体"/>
                <w:kern w:val="0"/>
              </w:rPr>
              <w:t>2.</w:t>
            </w:r>
            <w:r>
              <w:rPr>
                <w:rFonts w:hint="eastAsia" w:ascii="宋体" w:hAnsi="宋体" w:cs="宋体"/>
                <w:kern w:val="0"/>
              </w:rPr>
              <w:t>绩效指标中包含能够明确体现部门（单位）履职效果的社会、经济、生态效益指标（</w:t>
            </w:r>
            <w:r>
              <w:rPr>
                <w:rFonts w:ascii="宋体" w:hAnsi="宋体" w:cs="宋体"/>
                <w:kern w:val="0"/>
              </w:rPr>
              <w:t>2</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绩效指标具有清晰、可衡量的指标值（</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ascii="宋体" w:cs="宋体"/>
                <w:kern w:val="0"/>
              </w:rPr>
              <w:t>.</w:t>
            </w:r>
            <w:r>
              <w:rPr>
                <w:rFonts w:hint="eastAsia" w:ascii="宋体" w:hAnsi="宋体" w:cs="宋体"/>
                <w:kern w:val="0"/>
              </w:rPr>
              <w:t>绩效指标包含可量化的指标（</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5</w:t>
            </w:r>
            <w:r>
              <w:rPr>
                <w:rFonts w:ascii="宋体" w:cs="宋体"/>
                <w:kern w:val="0"/>
              </w:rPr>
              <w:t>.</w:t>
            </w:r>
            <w:r>
              <w:rPr>
                <w:rFonts w:hint="eastAsia" w:ascii="宋体" w:hAnsi="宋体" w:cs="宋体"/>
                <w:kern w:val="0"/>
              </w:rPr>
              <w:t>绩效目标的目标值测算能提供相关依据或符合客观实际情况（</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7.00</w:t>
            </w:r>
          </w:p>
        </w:tc>
      </w:tr>
      <w:tr>
        <w:tblPrEx>
          <w:tblCellMar>
            <w:top w:w="0" w:type="dxa"/>
            <w:left w:w="28" w:type="dxa"/>
            <w:bottom w:w="0" w:type="dxa"/>
            <w:right w:w="28" w:type="dxa"/>
          </w:tblCellMar>
        </w:tblPrEx>
        <w:trPr>
          <w:trHeight w:val="1359"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20</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7665"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政府采购执行率得分</w:t>
            </w:r>
            <w:r>
              <w:rPr>
                <w:rFonts w:ascii="宋体" w:hAnsi="宋体" w:cs="宋体"/>
                <w:kern w:val="0"/>
              </w:rPr>
              <w:t>=</w:t>
            </w:r>
            <w:r>
              <w:rPr>
                <w:rFonts w:hint="eastAsia" w:ascii="宋体" w:hAnsi="宋体" w:cs="宋体"/>
                <w:kern w:val="0"/>
              </w:rPr>
              <w:t>政府采购执行率×</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政府采购执行率</w:t>
            </w:r>
            <w:r>
              <w:rPr>
                <w:rFonts w:ascii="宋体" w:hAnsi="宋体" w:cs="宋体"/>
                <w:kern w:val="0"/>
              </w:rPr>
              <w:t>=</w:t>
            </w:r>
            <w:r>
              <w:rPr>
                <w:rFonts w:hint="eastAsia" w:ascii="宋体" w:hAnsi="宋体" w:cs="宋体"/>
                <w:kern w:val="0"/>
              </w:rPr>
              <w:t>（实际采购金额合计数</w:t>
            </w:r>
            <w:r>
              <w:rPr>
                <w:rFonts w:ascii="宋体" w:hAnsi="宋体" w:cs="宋体"/>
                <w:kern w:val="0"/>
              </w:rPr>
              <w:t>/</w:t>
            </w:r>
            <w:r>
              <w:rPr>
                <w:rFonts w:hint="eastAsia" w:ascii="宋体" w:hAnsi="宋体" w:cs="宋体"/>
                <w:kern w:val="0"/>
              </w:rPr>
              <w:t>采购计划金额合计数）×</w:t>
            </w:r>
            <w:r>
              <w:rPr>
                <w:rFonts w:ascii="宋体" w:hAnsi="宋体" w:cs="宋体"/>
                <w:kern w:val="0"/>
              </w:rPr>
              <w:t>100%</w:t>
            </w:r>
            <w:r>
              <w:rPr>
                <w:rFonts w:ascii="宋体" w:hAnsi="宋体" w:cs="宋体"/>
                <w:kern w:val="0"/>
              </w:rPr>
              <w:br w:type="textWrapping"/>
            </w:r>
            <w:r>
              <w:rPr>
                <w:rFonts w:ascii="宋体" w:hAnsi="宋体" w:cs="宋体"/>
                <w:kern w:val="0"/>
              </w:rPr>
              <w:t xml:space="preserve">    </w:t>
            </w:r>
            <w:r>
              <w:rPr>
                <w:rFonts w:hint="eastAsia" w:ascii="宋体" w:hAnsi="宋体" w:cs="宋体"/>
                <w:kern w:val="0"/>
              </w:rPr>
              <w:t>如实际采购金额大于采购计划金额，本项得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政府采购预算是指采购机关根据事业发展计划和行政任务编制的、并经过规定程序批准的年度政府采购计划。</w:t>
            </w:r>
          </w:p>
          <w:p>
            <w:pPr>
              <w:widowControl/>
              <w:spacing w:line="320" w:lineRule="exact"/>
              <w:ind w:firstLine="405"/>
              <w:rPr>
                <w:rFonts w:ascii="宋体"/>
                <w:kern w:val="0"/>
              </w:rPr>
            </w:pPr>
            <w:r>
              <w:rPr>
                <w:rFonts w:ascii="宋体" w:hAnsi="宋体" w:cs="宋体"/>
                <w:kern w:val="0"/>
              </w:rPr>
              <w:t>2.</w:t>
            </w:r>
            <w:r>
              <w:rPr>
                <w:rFonts w:hint="eastAsia" w:ascii="宋体" w:hAnsi="宋体" w:cs="宋体"/>
                <w:kern w:val="0"/>
              </w:rPr>
              <w:t>政府采购政策功能的执行和落实情况（</w:t>
            </w:r>
            <w:r>
              <w:rPr>
                <w:rFonts w:ascii="宋体" w:hAnsi="宋体" w:cs="宋体"/>
                <w:kern w:val="0"/>
              </w:rPr>
              <w:t>1</w:t>
            </w:r>
            <w:r>
              <w:rPr>
                <w:rFonts w:hint="eastAsia" w:ascii="宋体" w:hAnsi="宋体" w:cs="宋体"/>
                <w:kern w:val="0"/>
              </w:rPr>
              <w:t>分），落实不到位的酌情扣分。</w:t>
            </w:r>
          </w:p>
        </w:tc>
        <w:tc>
          <w:tcPr>
            <w:tcW w:w="533" w:type="dxa"/>
            <w:tcBorders>
              <w:top w:val="single" w:color="auto" w:sz="4" w:space="0"/>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2.00</w:t>
            </w:r>
          </w:p>
        </w:tc>
      </w:tr>
      <w:tr>
        <w:tblPrEx>
          <w:tblCellMar>
            <w:top w:w="0" w:type="dxa"/>
            <w:left w:w="28" w:type="dxa"/>
            <w:bottom w:w="0" w:type="dxa"/>
            <w:right w:w="28" w:type="dxa"/>
          </w:tblCellMar>
        </w:tblPrEx>
        <w:trPr>
          <w:trHeight w:val="18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7665"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资金支出规范性（</w:t>
            </w:r>
            <w:r>
              <w:rPr>
                <w:rFonts w:ascii="宋体" w:hAnsi="宋体" w:cs="宋体"/>
                <w:kern w:val="0"/>
              </w:rPr>
              <w:t>1</w:t>
            </w:r>
            <w:r>
              <w:rPr>
                <w:rFonts w:hint="eastAsia" w:ascii="宋体" w:hAnsi="宋体" w:cs="宋体"/>
                <w:kern w:val="0"/>
              </w:rPr>
              <w:t>分）。资金管理、费用标准、支付符合有关制度规定，按事项完成进度支付资金的，得</w:t>
            </w:r>
            <w:r>
              <w:rPr>
                <w:rFonts w:ascii="宋体" w:hAnsi="宋体" w:cs="宋体"/>
                <w:kern w:val="0"/>
              </w:rPr>
              <w:t>1</w:t>
            </w:r>
            <w:r>
              <w:rPr>
                <w:rFonts w:hint="eastAsia" w:ascii="宋体" w:hAnsi="宋体" w:cs="宋体"/>
                <w:kern w:val="0"/>
              </w:rPr>
              <w:t>分，否则酌情扣分。</w:t>
            </w:r>
            <w:r>
              <w:rPr>
                <w:rFonts w:ascii="宋体"/>
                <w:kern w:val="0"/>
              </w:rPr>
              <w:br w:type="textWrapping"/>
            </w:r>
            <w:r>
              <w:rPr>
                <w:rFonts w:ascii="宋体" w:hAnsi="宋体" w:cs="宋体"/>
                <w:kern w:val="0"/>
              </w:rPr>
              <w:t xml:space="preserve">    2.</w:t>
            </w:r>
            <w:r>
              <w:rPr>
                <w:rFonts w:hint="eastAsia" w:ascii="宋体" w:hAnsi="宋体" w:cs="宋体"/>
                <w:kern w:val="0"/>
              </w:rPr>
              <w:t>资金调整、调剂规范性（</w:t>
            </w:r>
            <w:r>
              <w:rPr>
                <w:rFonts w:ascii="宋体" w:hAnsi="宋体" w:cs="宋体"/>
                <w:kern w:val="0"/>
              </w:rPr>
              <w:t>1</w:t>
            </w:r>
            <w:r>
              <w:rPr>
                <w:rFonts w:hint="eastAsia" w:ascii="宋体" w:hAnsi="宋体" w:cs="宋体"/>
                <w:kern w:val="0"/>
              </w:rPr>
              <w:t>分）。调整、调剂资金累计在本单位部门预算总规模</w:t>
            </w:r>
            <w:r>
              <w:rPr>
                <w:rFonts w:ascii="宋体" w:hAnsi="宋体" w:cs="宋体"/>
                <w:kern w:val="0"/>
              </w:rPr>
              <w:t>10%</w:t>
            </w:r>
            <w:r>
              <w:rPr>
                <w:rFonts w:hint="eastAsia" w:ascii="宋体" w:hAnsi="宋体" w:cs="宋体"/>
                <w:kern w:val="0"/>
              </w:rPr>
              <w:t>以内的，得</w:t>
            </w:r>
            <w:r>
              <w:rPr>
                <w:rFonts w:ascii="宋体" w:hAnsi="宋体" w:cs="宋体"/>
                <w:kern w:val="0"/>
              </w:rPr>
              <w:t>1</w:t>
            </w:r>
            <w:r>
              <w:rPr>
                <w:rFonts w:hint="eastAsia" w:ascii="宋体" w:hAnsi="宋体" w:cs="宋体"/>
                <w:kern w:val="0"/>
              </w:rPr>
              <w:t>分；超出</w:t>
            </w:r>
            <w:r>
              <w:rPr>
                <w:rFonts w:ascii="宋体" w:hAnsi="宋体" w:cs="宋体"/>
                <w:kern w:val="0"/>
              </w:rPr>
              <w:t>10%</w:t>
            </w:r>
            <w:r>
              <w:rPr>
                <w:rFonts w:hint="eastAsia" w:ascii="宋体" w:hAnsi="宋体" w:cs="宋体"/>
                <w:kern w:val="0"/>
              </w:rPr>
              <w:t>的，超出一个百分点扣</w:t>
            </w:r>
            <w:r>
              <w:rPr>
                <w:rFonts w:ascii="宋体" w:hAnsi="宋体" w:cs="宋体"/>
                <w:kern w:val="0"/>
              </w:rPr>
              <w:t>0.1</w:t>
            </w:r>
            <w:r>
              <w:rPr>
                <w:rFonts w:hint="eastAsia" w:ascii="宋体" w:hAnsi="宋体" w:cs="宋体"/>
                <w:kern w:val="0"/>
              </w:rPr>
              <w:t>分，直至</w:t>
            </w:r>
            <w:r>
              <w:rPr>
                <w:rFonts w:ascii="宋体" w:hAnsi="宋体" w:cs="宋体"/>
                <w:kern w:val="0"/>
              </w:rPr>
              <w:t>1</w:t>
            </w:r>
            <w:r>
              <w:rPr>
                <w:rFonts w:hint="eastAsia" w:ascii="宋体" w:hAnsi="宋体" w:cs="宋体"/>
                <w:kern w:val="0"/>
              </w:rPr>
              <w:t>分扣完为止。</w:t>
            </w:r>
          </w:p>
          <w:p>
            <w:pPr>
              <w:widowControl/>
              <w:spacing w:line="320" w:lineRule="exact"/>
              <w:ind w:firstLine="420" w:firstLineChars="200"/>
              <w:rPr>
                <w:rFonts w:ascii="宋体"/>
                <w:kern w:val="0"/>
              </w:rPr>
            </w:pPr>
            <w:r>
              <w:rPr>
                <w:rFonts w:ascii="宋体" w:hAnsi="宋体" w:cs="宋体"/>
                <w:kern w:val="0"/>
              </w:rPr>
              <w:t>3.</w:t>
            </w:r>
            <w:r>
              <w:rPr>
                <w:rFonts w:hint="eastAsia" w:ascii="宋体" w:hAnsi="宋体" w:cs="宋体"/>
                <w:kern w:val="0"/>
              </w:rPr>
              <w:t>会计核算规范性（</w:t>
            </w:r>
            <w:r>
              <w:rPr>
                <w:rFonts w:ascii="宋体" w:hAnsi="宋体" w:cs="宋体"/>
                <w:kern w:val="0"/>
              </w:rPr>
              <w:t>1</w:t>
            </w:r>
            <w:r>
              <w:rPr>
                <w:rFonts w:hint="eastAsia" w:ascii="宋体" w:hAnsi="宋体" w:cs="宋体"/>
                <w:kern w:val="0"/>
              </w:rPr>
              <w:t>分）。规范执行会计核算制度得</w:t>
            </w:r>
            <w:r>
              <w:rPr>
                <w:rFonts w:ascii="宋体" w:hAnsi="宋体" w:cs="宋体"/>
                <w:kern w:val="0"/>
              </w:rPr>
              <w:t>1</w:t>
            </w:r>
            <w:r>
              <w:rPr>
                <w:rFonts w:hint="eastAsia" w:ascii="宋体" w:hAnsi="宋体" w:cs="宋体"/>
                <w:kern w:val="0"/>
              </w:rPr>
              <w:t>分，未按规定设专账核算、支出凭证不符合规定或其他核算不规范，酌情扣分。</w:t>
            </w:r>
          </w:p>
          <w:p>
            <w:pPr>
              <w:widowControl/>
              <w:spacing w:line="320" w:lineRule="exact"/>
              <w:ind w:firstLine="420"/>
              <w:rPr>
                <w:rFonts w:ascii="宋体"/>
                <w:kern w:val="0"/>
              </w:rPr>
            </w:pPr>
            <w:r>
              <w:rPr>
                <w:rFonts w:ascii="宋体" w:hAnsi="宋体" w:cs="宋体"/>
                <w:kern w:val="0"/>
              </w:rPr>
              <w:t>4.</w:t>
            </w:r>
            <w:r>
              <w:rPr>
                <w:rFonts w:hint="eastAsia" w:ascii="宋体" w:hAnsi="宋体" w:cs="宋体"/>
                <w:kern w:val="0"/>
              </w:rPr>
              <w:t>发生超范围、超标准支出，虚列支出，截留、挤占、挪用资金的，以及其他不符合制度规定支出，本项指标得</w:t>
            </w:r>
            <w:r>
              <w:rPr>
                <w:rFonts w:ascii="宋体" w:cs="宋体"/>
                <w:kern w:val="0"/>
              </w:rPr>
              <w:t>0</w:t>
            </w:r>
            <w:r>
              <w:rPr>
                <w:rFonts w:hint="eastAsia" w:ascii="宋体" w:hAnsi="宋体" w:cs="宋体"/>
                <w:kern w:val="0"/>
              </w:rPr>
              <w:t>分。</w:t>
            </w:r>
          </w:p>
        </w:tc>
        <w:tc>
          <w:tcPr>
            <w:tcW w:w="533" w:type="dxa"/>
            <w:tcBorders>
              <w:top w:val="single" w:color="auto" w:sz="4" w:space="0"/>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3.00</w:t>
            </w:r>
          </w:p>
        </w:tc>
      </w:tr>
      <w:tr>
        <w:tblPrEx>
          <w:tblCellMar>
            <w:top w:w="0" w:type="dxa"/>
            <w:left w:w="28" w:type="dxa"/>
            <w:bottom w:w="0" w:type="dxa"/>
            <w:right w:w="28" w:type="dxa"/>
          </w:tblCellMar>
        </w:tblPrEx>
        <w:trPr>
          <w:trHeight w:val="225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7665"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部门预算公开（</w:t>
            </w:r>
            <w:r>
              <w:rPr>
                <w:rFonts w:ascii="宋体" w:hAnsi="宋体" w:cs="宋体"/>
                <w:kern w:val="0"/>
              </w:rPr>
              <w:t>1.5</w:t>
            </w:r>
            <w:r>
              <w:rPr>
                <w:rFonts w:hint="eastAsia" w:ascii="宋体" w:hAnsi="宋体" w:cs="宋体"/>
                <w:kern w:val="0"/>
              </w:rPr>
              <w:t>分），按以下标准分档计分：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1</w:t>
            </w:r>
            <w:r>
              <w:rPr>
                <w:rFonts w:hint="eastAsia" w:ascii="宋体" w:hAnsi="宋体" w:cs="宋体"/>
                <w:kern w:val="0"/>
              </w:rPr>
              <w:t>）按规定内容、时限、范围等各项要求进行公开的，得</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2</w:t>
            </w:r>
            <w:r>
              <w:rPr>
                <w:rFonts w:hint="eastAsia" w:ascii="宋体" w:hAnsi="宋体" w:cs="宋体"/>
                <w:kern w:val="0"/>
              </w:rPr>
              <w:t>）进行了公开，存在不符合时限、内容、范围等要求的，得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3</w:t>
            </w:r>
            <w:r>
              <w:rPr>
                <w:rFonts w:hint="eastAsia" w:ascii="宋体" w:hAnsi="宋体" w:cs="宋体"/>
                <w:kern w:val="0"/>
              </w:rPr>
              <w:t>）没有进行公开的，得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部门决算公开（</w:t>
            </w:r>
            <w:r>
              <w:rPr>
                <w:rFonts w:ascii="宋体" w:hAnsi="宋体" w:cs="宋体"/>
                <w:kern w:val="0"/>
              </w:rPr>
              <w:t>1.5</w:t>
            </w:r>
            <w:r>
              <w:rPr>
                <w:rFonts w:hint="eastAsia" w:ascii="宋体" w:hAnsi="宋体" w:cs="宋体"/>
                <w:kern w:val="0"/>
              </w:rPr>
              <w:t>分），按以下标准分档计分：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1</w:t>
            </w:r>
            <w:r>
              <w:rPr>
                <w:rFonts w:hint="eastAsia" w:ascii="宋体" w:hAnsi="宋体" w:cs="宋体"/>
                <w:kern w:val="0"/>
              </w:rPr>
              <w:t>）按规定内容、时限、范围等各项要求进行公开的，得</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2</w:t>
            </w:r>
            <w:r>
              <w:rPr>
                <w:rFonts w:hint="eastAsia" w:ascii="宋体" w:hAnsi="宋体" w:cs="宋体"/>
                <w:kern w:val="0"/>
              </w:rPr>
              <w:t>）进行了公开，存在不符合时限、内容、范围等要求的，得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3</w:t>
            </w:r>
            <w:r>
              <w:rPr>
                <w:rFonts w:hint="eastAsia" w:ascii="宋体" w:hAnsi="宋体" w:cs="宋体"/>
                <w:kern w:val="0"/>
              </w:rPr>
              <w:t>）没有进行公开的，得</w:t>
            </w:r>
            <w:r>
              <w:rPr>
                <w:rFonts w:ascii="宋体" w:cs="宋体"/>
                <w:kern w:val="0"/>
              </w:rPr>
              <w:t>0</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3.</w:t>
            </w:r>
            <w:r>
              <w:rPr>
                <w:rFonts w:hint="eastAsia" w:ascii="宋体" w:hAnsi="宋体" w:cs="宋体"/>
                <w:kern w:val="0"/>
              </w:rPr>
              <w:t>涉密部门（单位）按规定不需要公开相关预决算信息的直接得分。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1.50</w:t>
            </w:r>
          </w:p>
        </w:tc>
      </w:tr>
      <w:tr>
        <w:tblPrEx>
          <w:tblCellMar>
            <w:top w:w="0" w:type="dxa"/>
            <w:left w:w="28" w:type="dxa"/>
            <w:bottom w:w="0" w:type="dxa"/>
            <w:right w:w="28" w:type="dxa"/>
          </w:tblCellMar>
        </w:tblPrEx>
        <w:trPr>
          <w:trHeight w:val="149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4</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766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项目的设立、调整按规定履行报批程序（</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项目招投标、建设、验收以及方案实施均严格执行相关制度规定（</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2.00</w:t>
            </w:r>
          </w:p>
        </w:tc>
      </w:tr>
      <w:tr>
        <w:tblPrEx>
          <w:tblCellMar>
            <w:top w:w="0" w:type="dxa"/>
            <w:left w:w="28" w:type="dxa"/>
            <w:bottom w:w="0" w:type="dxa"/>
            <w:right w:w="28" w:type="dxa"/>
          </w:tblCellMar>
        </w:tblPrEx>
        <w:trPr>
          <w:trHeight w:val="152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部门（单位）对所实施项目（包括部门主管的专项资金和专项经费分配给区实施的项目）的检查、监控、督促整改等管理情况。</w:t>
            </w:r>
          </w:p>
        </w:tc>
        <w:tc>
          <w:tcPr>
            <w:tcW w:w="7665"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资金使用单位、基层资金管理单位建立有效资金管理和绩效运行监控机制，且执行情况良好（</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各主管部门按规定对主管的财政资金（含专项资金和专项经费）开展有效的检查、监控、督促整改（</w:t>
            </w:r>
            <w:r>
              <w:rPr>
                <w:rFonts w:ascii="宋体" w:hAnsi="宋体" w:cs="宋体"/>
                <w:kern w:val="0"/>
              </w:rPr>
              <w:t>1</w:t>
            </w:r>
            <w:r>
              <w:rPr>
                <w:rFonts w:hint="eastAsia" w:ascii="宋体" w:hAnsi="宋体" w:cs="宋体"/>
                <w:kern w:val="0"/>
              </w:rPr>
              <w:t>分），如无法提供开展检查监督相关证明材料，或被评价年度部门主管的专项资金绩效评价结果为差的，得</w:t>
            </w:r>
            <w:r>
              <w:rPr>
                <w:rFonts w:ascii="宋体" w:cs="宋体"/>
                <w:kern w:val="0"/>
              </w:rPr>
              <w:t>0</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hint="eastAsia"/>
                <w:color w:val="000000"/>
                <w:kern w:val="0"/>
                <w:sz w:val="18"/>
                <w:szCs w:val="18"/>
              </w:rPr>
            </w:pPr>
            <w:r>
              <w:rPr>
                <w:rFonts w:hint="eastAsia"/>
                <w:color w:val="000000"/>
                <w:sz w:val="18"/>
                <w:szCs w:val="18"/>
              </w:rPr>
              <w:t>2.00</w:t>
            </w:r>
          </w:p>
        </w:tc>
      </w:tr>
      <w:tr>
        <w:tblPrEx>
          <w:tblCellMar>
            <w:top w:w="0" w:type="dxa"/>
            <w:left w:w="28" w:type="dxa"/>
            <w:bottom w:w="0" w:type="dxa"/>
            <w:right w:w="28" w:type="dxa"/>
          </w:tblCellMar>
        </w:tblPrEx>
        <w:trPr>
          <w:trHeight w:val="136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766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资产配置合理、保管完整，账实相符（</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资产处置规范，有偿使用及处置收入及时足额上缴（</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2.00</w:t>
            </w:r>
          </w:p>
        </w:tc>
      </w:tr>
      <w:tr>
        <w:tblPrEx>
          <w:tblCellMar>
            <w:top w:w="0" w:type="dxa"/>
            <w:left w:w="28" w:type="dxa"/>
            <w:bottom w:w="0" w:type="dxa"/>
            <w:right w:w="28" w:type="dxa"/>
          </w:tblCellMar>
        </w:tblPrEx>
        <w:trPr>
          <w:trHeight w:val="13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7665"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固定资产利用率</w:t>
            </w:r>
            <w:r>
              <w:rPr>
                <w:rFonts w:ascii="宋体" w:hAnsi="宋体" w:cs="宋体"/>
                <w:kern w:val="0"/>
              </w:rPr>
              <w:t>=</w:t>
            </w:r>
            <w:r>
              <w:rPr>
                <w:rFonts w:hint="eastAsia" w:ascii="宋体" w:hAnsi="宋体" w:cs="宋体"/>
                <w:kern w:val="0"/>
              </w:rPr>
              <w:t>（实际在用固定资产总额</w:t>
            </w:r>
            <w:r>
              <w:rPr>
                <w:rFonts w:ascii="宋体" w:hAnsi="宋体" w:cs="宋体"/>
                <w:kern w:val="0"/>
              </w:rPr>
              <w:t>/</w:t>
            </w:r>
            <w:r>
              <w:rPr>
                <w:rFonts w:hint="eastAsia" w:ascii="宋体" w:hAnsi="宋体" w:cs="宋体"/>
                <w:kern w:val="0"/>
              </w:rPr>
              <w:t>所有固定资产总额）×</w:t>
            </w:r>
            <w:r>
              <w:rPr>
                <w:rFonts w:ascii="宋体" w:hAnsi="宋体" w:cs="宋体"/>
                <w:kern w:val="0"/>
              </w:rPr>
              <w:t xml:space="preserve">100%    </w:t>
            </w:r>
          </w:p>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固定资产利用率≥</w:t>
            </w:r>
            <w:r>
              <w:rPr>
                <w:rFonts w:ascii="宋体" w:hAnsi="宋体" w:cs="宋体"/>
                <w:kern w:val="0"/>
              </w:rPr>
              <w:t>90%</w:t>
            </w:r>
            <w:r>
              <w:rPr>
                <w:rFonts w:hint="eastAsia" w:ascii="宋体" w:hAnsi="宋体" w:cs="宋体"/>
                <w:kern w:val="0"/>
              </w:rPr>
              <w:t>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2.90%</w:t>
            </w:r>
            <w:r>
              <w:rPr>
                <w:rFonts w:hint="eastAsia" w:ascii="宋体" w:hAnsi="宋体" w:cs="宋体"/>
                <w:kern w:val="0"/>
              </w:rPr>
              <w:t>＞固定资产利用率≥</w:t>
            </w:r>
            <w:r>
              <w:rPr>
                <w:rFonts w:ascii="宋体" w:hAnsi="宋体" w:cs="宋体"/>
                <w:kern w:val="0"/>
              </w:rPr>
              <w:t>75%</w:t>
            </w:r>
            <w:r>
              <w:rPr>
                <w:rFonts w:hint="eastAsia" w:ascii="宋体" w:hAnsi="宋体" w:cs="宋体"/>
                <w:kern w:val="0"/>
              </w:rPr>
              <w:t>的，得</w:t>
            </w:r>
            <w:r>
              <w:rPr>
                <w:rFonts w:ascii="宋体" w:hAnsi="宋体" w:cs="宋体"/>
                <w:kern w:val="0"/>
              </w:rPr>
              <w:t>0.7</w:t>
            </w:r>
            <w:r>
              <w:rPr>
                <w:rFonts w:hint="eastAsia" w:ascii="宋体" w:hAnsi="宋体" w:cs="宋体"/>
                <w:kern w:val="0"/>
              </w:rPr>
              <w:t>分；</w:t>
            </w:r>
            <w:r>
              <w:rPr>
                <w:rFonts w:ascii="宋体"/>
                <w:kern w:val="0"/>
              </w:rPr>
              <w:br w:type="textWrapping"/>
            </w:r>
            <w:r>
              <w:rPr>
                <w:rFonts w:ascii="宋体" w:hAnsi="宋体" w:cs="宋体"/>
                <w:kern w:val="0"/>
              </w:rPr>
              <w:t xml:space="preserve">    3.75%</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ascii="宋体" w:hAnsi="宋体" w:cs="宋体"/>
                <w:kern w:val="0"/>
              </w:rPr>
              <w:t>4</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1.00</w:t>
            </w:r>
          </w:p>
        </w:tc>
      </w:tr>
      <w:tr>
        <w:tblPrEx>
          <w:tblCellMar>
            <w:top w:w="0" w:type="dxa"/>
            <w:left w:w="28" w:type="dxa"/>
            <w:bottom w:w="0" w:type="dxa"/>
            <w:right w:w="28" w:type="dxa"/>
          </w:tblCellMar>
        </w:tblPrEx>
        <w:trPr>
          <w:trHeight w:val="1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48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sz w:val="18"/>
                <w:szCs w:val="18"/>
              </w:rPr>
            </w:pPr>
            <w:r>
              <w:rPr>
                <w:rFonts w:hint="eastAsia" w:ascii="宋体" w:hAnsi="宋体" w:cs="宋体"/>
                <w:kern w:val="0"/>
              </w:rPr>
              <w:t>财政供养人员控制率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sz w:val="18"/>
                <w:szCs w:val="18"/>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sz w:val="18"/>
                <w:szCs w:val="18"/>
              </w:rPr>
            </w:pPr>
            <w:r>
              <w:rPr>
                <w:rFonts w:hint="eastAsia" w:ascii="宋体" w:hAnsi="宋体" w:cs="宋体"/>
                <w:kern w:val="0"/>
              </w:rPr>
              <w:t>部门（单位）本年度在编人数（含工勤人员）与核定编制数（含工勤人员）的比率。</w:t>
            </w:r>
          </w:p>
        </w:tc>
        <w:tc>
          <w:tcPr>
            <w:tcW w:w="7665"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sz w:val="18"/>
                <w:szCs w:val="18"/>
              </w:rPr>
            </w:pPr>
            <w:r>
              <w:rPr>
                <w:rFonts w:hint="eastAsia" w:ascii="宋体" w:hAnsi="宋体" w:cs="宋体"/>
                <w:kern w:val="0"/>
              </w:rPr>
              <w:t>财政供养人员控制率</w:t>
            </w:r>
            <w:r>
              <w:rPr>
                <w:rFonts w:ascii="宋体" w:hAnsi="宋体" w:cs="宋体"/>
                <w:kern w:val="0"/>
              </w:rPr>
              <w:t>=</w:t>
            </w:r>
            <w:r>
              <w:rPr>
                <w:rFonts w:hint="eastAsia" w:ascii="宋体" w:hAnsi="宋体" w:cs="宋体"/>
                <w:kern w:val="0"/>
              </w:rPr>
              <w:t>本年度在编人数（含工勤人员）</w:t>
            </w:r>
            <w:r>
              <w:rPr>
                <w:rFonts w:ascii="宋体" w:hAnsi="宋体" w:cs="宋体"/>
                <w:kern w:val="0"/>
              </w:rPr>
              <w:t>/</w:t>
            </w:r>
            <w:r>
              <w:rPr>
                <w:rFonts w:hint="eastAsia" w:ascii="宋体" w:hAnsi="宋体" w:cs="宋体"/>
                <w:kern w:val="0"/>
              </w:rPr>
              <w:t>核定编制数（含工勤人员）</w:t>
            </w:r>
          </w:p>
          <w:p>
            <w:pPr>
              <w:widowControl/>
              <w:spacing w:line="300" w:lineRule="exact"/>
              <w:rPr>
                <w:rFonts w:ascii="宋体"/>
                <w:kern w:val="0"/>
                <w:sz w:val="18"/>
                <w:szCs w:val="18"/>
              </w:rPr>
            </w:pPr>
            <w:r>
              <w:rPr>
                <w:rFonts w:ascii="宋体" w:hAnsi="宋体" w:cs="宋体"/>
                <w:kern w:val="0"/>
              </w:rPr>
              <w:t xml:space="preserve">   1.</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rPr>
                <w:rFonts w:ascii="宋体"/>
                <w:kern w:val="0"/>
                <w:sz w:val="18"/>
                <w:szCs w:val="18"/>
              </w:rPr>
            </w:pPr>
            <w:r>
              <w:rPr>
                <w:rFonts w:ascii="宋体" w:cs="宋体"/>
                <w:kern w:val="0"/>
              </w:rPr>
              <w:t xml:space="preserve">   2.</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53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color w:val="000000"/>
                <w:sz w:val="18"/>
                <w:szCs w:val="18"/>
              </w:rPr>
              <w:t>1.00</w:t>
            </w:r>
          </w:p>
        </w:tc>
      </w:tr>
      <w:tr>
        <w:tblPrEx>
          <w:tblCellMar>
            <w:top w:w="0" w:type="dxa"/>
            <w:left w:w="28" w:type="dxa"/>
            <w:bottom w:w="0" w:type="dxa"/>
            <w:right w:w="28" w:type="dxa"/>
          </w:tblCellMar>
        </w:tblPrEx>
        <w:trPr>
          <w:trHeight w:val="12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w:t>
            </w:r>
            <w:r>
              <w:rPr>
                <w:rFonts w:ascii="宋体" w:hAnsi="宋体" w:cs="宋体"/>
                <w:kern w:val="0"/>
              </w:rPr>
              <w:t>+</w:t>
            </w:r>
            <w:r>
              <w:rPr>
                <w:rFonts w:hint="eastAsia" w:ascii="宋体" w:hAnsi="宋体" w:cs="宋体"/>
                <w:kern w:val="0"/>
              </w:rPr>
              <w:t>编外）的比率。</w:t>
            </w:r>
          </w:p>
        </w:tc>
        <w:tc>
          <w:tcPr>
            <w:tcW w:w="7665"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比率＜</w:t>
            </w:r>
            <w:r>
              <w:rPr>
                <w:rFonts w:ascii="宋体" w:hAnsi="宋体" w:cs="宋体"/>
                <w:kern w:val="0"/>
              </w:rPr>
              <w:t>5%</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ind w:firstLine="420" w:firstLineChars="200"/>
              <w:rPr>
                <w:rFonts w:ascii="宋体"/>
                <w:kern w:val="0"/>
              </w:rPr>
            </w:pPr>
            <w:r>
              <w:rPr>
                <w:rFonts w:ascii="宋体" w:hAnsi="宋体" w:cs="宋体"/>
                <w:kern w:val="0"/>
              </w:rPr>
              <w:t>2.5%</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ascii="宋体" w:cs="宋体"/>
                <w:kern w:val="0"/>
              </w:rPr>
              <w:t>.</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5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1.00</w:t>
            </w:r>
          </w:p>
        </w:tc>
      </w:tr>
      <w:tr>
        <w:tblPrEx>
          <w:tblCellMar>
            <w:top w:w="0" w:type="dxa"/>
            <w:left w:w="28" w:type="dxa"/>
            <w:bottom w:w="0" w:type="dxa"/>
            <w:right w:w="28" w:type="dxa"/>
          </w:tblCellMar>
        </w:tblPrEx>
        <w:trPr>
          <w:trHeight w:val="26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7665"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部门制定了财政资金管理、财务管理、内部控制等制度（</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上述财政资金管理、财务管理、内部控制等制度得到有效执行（</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3.00</w:t>
            </w:r>
          </w:p>
        </w:tc>
      </w:tr>
      <w:tr>
        <w:tblPrEx>
          <w:tblCellMar>
            <w:top w:w="0" w:type="dxa"/>
            <w:left w:w="28" w:type="dxa"/>
            <w:bottom w:w="0" w:type="dxa"/>
            <w:right w:w="28" w:type="dxa"/>
          </w:tblCellMar>
        </w:tblPrEx>
        <w:trPr>
          <w:trHeight w:val="360"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55</w:t>
            </w: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经济性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“三公”经费控制率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部门（单位）本年度实际支出的“三公”经费总额与预算安排的“三公”经费总额的比率，用以反映和考核部门（单位）对“三公”经费成本的实际控制程度。</w:t>
            </w:r>
          </w:p>
        </w:tc>
        <w:tc>
          <w:tcPr>
            <w:tcW w:w="7665"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“三公”经费控制率</w:t>
            </w:r>
            <w:r>
              <w:rPr>
                <w:rFonts w:ascii="宋体" w:hAnsi="宋体" w:cs="宋体"/>
                <w:kern w:val="0"/>
              </w:rPr>
              <w:t>=</w:t>
            </w:r>
            <w:r>
              <w:rPr>
                <w:rFonts w:hint="eastAsia" w:ascii="宋体" w:hAnsi="宋体" w:cs="宋体"/>
                <w:kern w:val="0"/>
              </w:rPr>
              <w:t>“三公”经费实际支出数</w:t>
            </w:r>
            <w:r>
              <w:rPr>
                <w:rFonts w:ascii="宋体" w:hAnsi="宋体" w:cs="宋体"/>
                <w:kern w:val="0"/>
              </w:rPr>
              <w:t>/</w:t>
            </w:r>
            <w:r>
              <w:rPr>
                <w:rFonts w:hint="eastAsia" w:ascii="宋体" w:hAnsi="宋体" w:cs="宋体"/>
                <w:kern w:val="0"/>
              </w:rPr>
              <w:t>“三公”经费预算安排数×</w:t>
            </w:r>
            <w:r>
              <w:rPr>
                <w:rFonts w:ascii="宋体" w:hAnsi="宋体" w:cs="宋体"/>
                <w:kern w:val="0"/>
              </w:rPr>
              <w:t>100%</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“三公”经费控制率＜</w:t>
            </w:r>
            <w:r>
              <w:rPr>
                <w:rFonts w:ascii="宋体" w:hAnsi="宋体" w:cs="宋体"/>
                <w:kern w:val="0"/>
              </w:rPr>
              <w:t>90%</w:t>
            </w:r>
            <w:r>
              <w:rPr>
                <w:rFonts w:hint="eastAsia" w:ascii="宋体" w:hAnsi="宋体" w:cs="宋体"/>
                <w:kern w:val="0"/>
              </w:rPr>
              <w:t>的，得6分；</w:t>
            </w:r>
          </w:p>
          <w:p>
            <w:pPr>
              <w:widowControl/>
              <w:spacing w:line="320" w:lineRule="exact"/>
              <w:ind w:firstLine="315" w:firstLineChars="150"/>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的，得3分；</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color w:val="000000"/>
                <w:sz w:val="18"/>
                <w:szCs w:val="18"/>
              </w:rPr>
              <w:t>3.00</w:t>
            </w:r>
          </w:p>
        </w:tc>
      </w:tr>
      <w:tr>
        <w:tblPrEx>
          <w:tblCellMar>
            <w:top w:w="0" w:type="dxa"/>
            <w:left w:w="28" w:type="dxa"/>
            <w:bottom w:w="0" w:type="dxa"/>
            <w:right w:w="28" w:type="dxa"/>
          </w:tblCellMar>
        </w:tblPrEx>
        <w:trPr>
          <w:trHeight w:val="27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48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部门（单位）部门预算实际支付进度和既定支付进度的匹配情况，反映和考核部门（单位）预算执行的及时性和均衡性。</w:t>
            </w:r>
          </w:p>
        </w:tc>
        <w:tc>
          <w:tcPr>
            <w:tcW w:w="766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1.</w:t>
            </w:r>
            <w:r>
              <w:rPr>
                <w:rFonts w:hint="eastAsia" w:ascii="宋体" w:hAnsi="宋体" w:cs="宋体"/>
                <w:kern w:val="0"/>
              </w:rPr>
              <w:t>一季度预算执行率得分</w:t>
            </w:r>
            <w:r>
              <w:rPr>
                <w:rFonts w:ascii="宋体" w:hAnsi="宋体" w:cs="宋体"/>
                <w:kern w:val="0"/>
              </w:rPr>
              <w:t>=</w:t>
            </w:r>
            <w:r>
              <w:rPr>
                <w:rFonts w:hint="eastAsia" w:ascii="宋体" w:hAnsi="宋体" w:cs="宋体"/>
                <w:kern w:val="0"/>
              </w:rPr>
              <w:t>（一季度部门预算支出进度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25%</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2.</w:t>
            </w:r>
            <w:r>
              <w:rPr>
                <w:rFonts w:hint="eastAsia" w:ascii="宋体" w:hAnsi="宋体" w:cs="宋体"/>
                <w:kern w:val="0"/>
              </w:rPr>
              <w:t>二季度预算执行率得分</w:t>
            </w:r>
            <w:r>
              <w:rPr>
                <w:rFonts w:ascii="宋体" w:hAnsi="宋体" w:cs="宋体"/>
                <w:kern w:val="0"/>
              </w:rPr>
              <w:t>=</w:t>
            </w:r>
            <w:r>
              <w:rPr>
                <w:rFonts w:hint="eastAsia" w:ascii="宋体" w:hAnsi="宋体" w:cs="宋体"/>
                <w:kern w:val="0"/>
              </w:rPr>
              <w:t>（二季度部门预算支出进度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50%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3.</w:t>
            </w:r>
            <w:r>
              <w:rPr>
                <w:rFonts w:hint="eastAsia" w:ascii="宋体" w:hAnsi="宋体" w:cs="宋体"/>
                <w:kern w:val="0"/>
              </w:rPr>
              <w:t>三季度预算执行率得分</w:t>
            </w:r>
            <w:r>
              <w:rPr>
                <w:rFonts w:ascii="宋体" w:hAnsi="宋体" w:cs="宋体"/>
                <w:kern w:val="0"/>
              </w:rPr>
              <w:t>=</w:t>
            </w:r>
            <w:r>
              <w:rPr>
                <w:rFonts w:hint="eastAsia" w:ascii="宋体" w:hAnsi="宋体" w:cs="宋体"/>
                <w:kern w:val="0"/>
              </w:rPr>
              <w:t>（三季度部门预算支出进度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75%</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4.</w:t>
            </w:r>
            <w:r>
              <w:rPr>
                <w:rFonts w:hint="eastAsia" w:ascii="宋体" w:hAnsi="宋体" w:cs="宋体"/>
                <w:kern w:val="0"/>
              </w:rPr>
              <w:t>四季度预算执行率得分</w:t>
            </w:r>
            <w:r>
              <w:rPr>
                <w:rFonts w:ascii="宋体" w:hAnsi="宋体" w:cs="宋体"/>
                <w:kern w:val="0"/>
              </w:rPr>
              <w:t>=</w:t>
            </w:r>
            <w:r>
              <w:rPr>
                <w:rFonts w:hint="eastAsia" w:ascii="宋体" w:hAnsi="宋体" w:cs="宋体"/>
                <w:kern w:val="0"/>
              </w:rPr>
              <w:t>（四季度部门预算支出进度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5.</w:t>
            </w:r>
            <w:r>
              <w:rPr>
                <w:rFonts w:hint="eastAsia" w:ascii="宋体" w:hAnsi="宋体" w:cs="宋体"/>
                <w:kern w:val="0"/>
              </w:rPr>
              <w:t>全年平均支出进度得分</w:t>
            </w:r>
            <w:r>
              <w:rPr>
                <w:rFonts w:ascii="宋体" w:hAnsi="宋体" w:cs="宋体"/>
                <w:kern w:val="0"/>
              </w:rPr>
              <w:t>=</w:t>
            </w:r>
            <w:r>
              <w:rPr>
                <w:rFonts w:hint="eastAsia" w:ascii="宋体" w:hAnsi="宋体" w:cs="宋体"/>
                <w:kern w:val="0"/>
              </w:rPr>
              <w:t>全年平均执行率×</w:t>
            </w:r>
            <w:r>
              <w:rPr>
                <w:rFonts w:ascii="宋体" w:hAnsi="宋体" w:cs="宋体"/>
                <w:kern w:val="0"/>
              </w:rPr>
              <w:t>2</w:t>
            </w:r>
            <w:r>
              <w:rPr>
                <w:rFonts w:hint="eastAsia" w:ascii="宋体" w:hAnsi="宋体" w:cs="宋体"/>
                <w:kern w:val="0"/>
              </w:rPr>
              <w:t>分</w:t>
            </w:r>
          </w:p>
          <w:p>
            <w:pPr>
              <w:widowControl/>
              <w:spacing w:line="320" w:lineRule="exact"/>
              <w:ind w:firstLine="405"/>
              <w:rPr>
                <w:rFonts w:ascii="宋体" w:hAnsi="宋体" w:cs="宋体"/>
                <w:kern w:val="0"/>
              </w:rPr>
            </w:pPr>
            <w:r>
              <w:rPr>
                <w:rFonts w:hint="eastAsia" w:ascii="宋体" w:hAnsi="宋体" w:cs="宋体"/>
                <w:kern w:val="0"/>
              </w:rPr>
              <w:t>其中：全年平均执行率</w:t>
            </w:r>
            <w:r>
              <w:rPr>
                <w:rFonts w:ascii="宋体" w:hAnsi="宋体" w:cs="宋体"/>
                <w:kern w:val="0"/>
              </w:rPr>
              <w:t>=</w:t>
            </w:r>
            <w:r>
              <w:rPr>
                <w:rFonts w:hint="eastAsia" w:ascii="宋体" w:hAnsi="宋体" w:cs="宋体"/>
                <w:kern w:val="0"/>
              </w:rPr>
              <w:t>∑（每个季度的执行率）÷</w:t>
            </w:r>
            <w:r>
              <w:rPr>
                <w:rFonts w:ascii="宋体" w:hAnsi="宋体" w:cs="宋体"/>
                <w:kern w:val="0"/>
              </w:rPr>
              <w:t>4</w:t>
            </w:r>
          </w:p>
          <w:p>
            <w:pPr>
              <w:widowControl/>
              <w:spacing w:line="320" w:lineRule="exact"/>
              <w:ind w:firstLine="405"/>
              <w:rPr>
                <w:rFonts w:ascii="宋体" w:hAnsi="宋体" w:cs="宋体"/>
                <w:kern w:val="0"/>
              </w:rPr>
            </w:pPr>
          </w:p>
          <w:p>
            <w:pPr>
              <w:widowControl/>
              <w:spacing w:line="320" w:lineRule="exact"/>
              <w:rPr>
                <w:rFonts w:ascii="宋体"/>
                <w:kern w:val="0"/>
              </w:rPr>
            </w:pPr>
            <w:r>
              <w:rPr>
                <w:rFonts w:hint="eastAsia" w:ascii="宋体" w:hAnsi="宋体" w:cs="宋体"/>
                <w:kern w:val="0"/>
              </w:rPr>
              <w:t>季度支出进度</w:t>
            </w:r>
            <w:r>
              <w:rPr>
                <w:rFonts w:ascii="宋体" w:hAnsi="宋体" w:cs="宋体"/>
                <w:kern w:val="0"/>
              </w:rPr>
              <w:t>=</w:t>
            </w:r>
            <w:r>
              <w:rPr>
                <w:rFonts w:hint="eastAsia" w:ascii="宋体" w:hAnsi="宋体" w:cs="宋体"/>
                <w:kern w:val="0"/>
              </w:rPr>
              <w:t>季度末月份累计支出进度（即</w:t>
            </w:r>
            <w:r>
              <w:rPr>
                <w:rFonts w:ascii="宋体" w:hAnsi="宋体" w:cs="宋体"/>
                <w:kern w:val="0"/>
              </w:rPr>
              <w:t>3</w:t>
            </w:r>
            <w:r>
              <w:rPr>
                <w:rFonts w:hint="eastAsia" w:ascii="宋体" w:hAnsi="宋体" w:cs="宋体"/>
                <w:kern w:val="0"/>
              </w:rPr>
              <w:t>、</w:t>
            </w:r>
            <w:r>
              <w:rPr>
                <w:rFonts w:ascii="宋体" w:hAnsi="宋体" w:cs="宋体"/>
                <w:kern w:val="0"/>
              </w:rPr>
              <w:t>6</w:t>
            </w:r>
            <w:r>
              <w:rPr>
                <w:rFonts w:hint="eastAsia" w:ascii="宋体" w:hAnsi="宋体" w:cs="宋体"/>
                <w:kern w:val="0"/>
              </w:rPr>
              <w:t>、</w:t>
            </w:r>
            <w:r>
              <w:rPr>
                <w:rFonts w:ascii="宋体" w:hAnsi="宋体" w:cs="宋体"/>
                <w:kern w:val="0"/>
              </w:rPr>
              <w:t>9</w:t>
            </w:r>
            <w:r>
              <w:rPr>
                <w:rFonts w:hint="eastAsia" w:ascii="宋体" w:hAnsi="宋体" w:cs="宋体"/>
                <w:kern w:val="0"/>
              </w:rPr>
              <w:t>、</w:t>
            </w:r>
            <w:r>
              <w:rPr>
                <w:rFonts w:ascii="宋体" w:hAnsi="宋体" w:cs="宋体"/>
                <w:kern w:val="0"/>
              </w:rPr>
              <w:t>12</w:t>
            </w:r>
            <w:r>
              <w:rPr>
                <w:rFonts w:hint="eastAsia" w:ascii="宋体" w:hAnsi="宋体" w:cs="宋体"/>
                <w:kern w:val="0"/>
              </w:rPr>
              <w:t>月月末支出进度）</w:t>
            </w:r>
          </w:p>
        </w:tc>
        <w:tc>
          <w:tcPr>
            <w:tcW w:w="53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lang w:val="en-US" w:eastAsia="zh-CN"/>
              </w:rPr>
            </w:pPr>
            <w:r>
              <w:rPr>
                <w:rFonts w:hint="eastAsia"/>
                <w:color w:val="000000"/>
                <w:sz w:val="18"/>
                <w:szCs w:val="18"/>
                <w:lang w:val="en-US" w:eastAsia="zh-CN"/>
              </w:rPr>
              <w:t>5.99</w:t>
            </w:r>
          </w:p>
        </w:tc>
      </w:tr>
      <w:tr>
        <w:tblPrEx>
          <w:tblCellMar>
            <w:top w:w="0" w:type="dxa"/>
            <w:left w:w="28" w:type="dxa"/>
            <w:bottom w:w="0" w:type="dxa"/>
            <w:right w:w="28" w:type="dxa"/>
          </w:tblCellMar>
        </w:tblPrEx>
        <w:trPr>
          <w:trHeight w:val="140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7665"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重点工作是指中央、省、市相关部门、区委、区政府、区人大交办或下达的工作任务。全部按期保质保量完成得</w:t>
            </w:r>
            <w:r>
              <w:rPr>
                <w:rFonts w:ascii="宋体" w:hAnsi="宋体" w:cs="宋体"/>
                <w:kern w:val="0"/>
              </w:rPr>
              <w:t>8</w:t>
            </w:r>
            <w:r>
              <w:rPr>
                <w:rFonts w:hint="eastAsia" w:ascii="宋体" w:hAnsi="宋体" w:cs="宋体"/>
                <w:kern w:val="0"/>
              </w:rPr>
              <w:t>分；一项重点工作没有完成扣</w:t>
            </w:r>
            <w:r>
              <w:rPr>
                <w:rFonts w:ascii="宋体" w:hAnsi="宋体" w:cs="宋体"/>
                <w:kern w:val="0"/>
              </w:rPr>
              <w:t>4</w:t>
            </w:r>
            <w:r>
              <w:rPr>
                <w:rFonts w:hint="eastAsia" w:ascii="宋体" w:hAnsi="宋体" w:cs="宋体"/>
                <w:kern w:val="0"/>
              </w:rPr>
              <w:t>分，扣完为止。</w:t>
            </w:r>
          </w:p>
          <w:p>
            <w:pPr>
              <w:widowControl/>
              <w:spacing w:line="320" w:lineRule="exact"/>
              <w:rPr>
                <w:rFonts w:ascii="宋体"/>
                <w:kern w:val="0"/>
              </w:rPr>
            </w:pPr>
            <w:r>
              <w:rPr>
                <w:rFonts w:hint="eastAsia" w:ascii="宋体" w:hAnsi="宋体" w:cs="宋体"/>
                <w:kern w:val="0"/>
              </w:rPr>
              <w:t>注：重点工作完成情况可以参考区委区政府督查部门或其他权威部门的统计数据（如有）。</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不适用</w:t>
            </w:r>
          </w:p>
        </w:tc>
      </w:tr>
      <w:tr>
        <w:tblPrEx>
          <w:tblCellMar>
            <w:top w:w="0" w:type="dxa"/>
            <w:left w:w="28" w:type="dxa"/>
            <w:bottom w:w="0" w:type="dxa"/>
            <w:right w:w="28" w:type="dxa"/>
          </w:tblCellMar>
        </w:tblPrEx>
        <w:trPr>
          <w:trHeight w:val="892"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sz w:val="18"/>
                <w:szCs w:val="18"/>
              </w:rPr>
            </w:pPr>
            <w:r>
              <w:rPr>
                <w:rFonts w:hint="eastAsia" w:ascii="宋体" w:hAnsi="宋体" w:cs="宋体"/>
                <w:kern w:val="0"/>
              </w:rPr>
              <w:t>项目完成及时性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sz w:val="18"/>
                <w:szCs w:val="18"/>
              </w:rPr>
            </w:pPr>
            <w:r>
              <w:rPr>
                <w:rFonts w:hint="eastAsia" w:ascii="宋体" w:hAnsi="宋体" w:cs="宋体"/>
                <w:kern w:val="0"/>
              </w:rPr>
              <w:t>部门（单位）项目完成情况与预期时间对比的情况。</w:t>
            </w:r>
          </w:p>
        </w:tc>
        <w:tc>
          <w:tcPr>
            <w:tcW w:w="7665"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sz w:val="18"/>
                <w:szCs w:val="18"/>
              </w:rPr>
            </w:pPr>
            <w:r>
              <w:rPr>
                <w:rFonts w:ascii="宋体" w:hAnsi="宋体" w:cs="宋体"/>
                <w:kern w:val="0"/>
              </w:rPr>
              <w:t>1.</w:t>
            </w:r>
            <w:r>
              <w:rPr>
                <w:rFonts w:hint="eastAsia" w:ascii="宋体" w:hAnsi="宋体" w:cs="宋体"/>
                <w:kern w:val="0"/>
              </w:rPr>
              <w:t>所有部门预算安排的项目均按计划时间完成（</w:t>
            </w:r>
            <w:r>
              <w:rPr>
                <w:rFonts w:ascii="宋体" w:hAnsi="宋体" w:cs="宋体"/>
                <w:kern w:val="0"/>
              </w:rPr>
              <w:t>6</w:t>
            </w:r>
            <w:r>
              <w:rPr>
                <w:rFonts w:hint="eastAsia" w:ascii="宋体" w:hAnsi="宋体" w:cs="宋体"/>
                <w:kern w:val="0"/>
              </w:rPr>
              <w:t>分）；</w:t>
            </w:r>
          </w:p>
          <w:p>
            <w:pPr>
              <w:widowControl/>
              <w:spacing w:line="320" w:lineRule="exact"/>
              <w:ind w:firstLine="420" w:firstLineChars="200"/>
              <w:rPr>
                <w:rFonts w:ascii="宋体"/>
                <w:kern w:val="0"/>
                <w:sz w:val="18"/>
                <w:szCs w:val="18"/>
              </w:rPr>
            </w:pPr>
            <w:r>
              <w:rPr>
                <w:rFonts w:ascii="宋体" w:hAnsi="宋体" w:cs="宋体"/>
                <w:kern w:val="0"/>
              </w:rPr>
              <w:t>2.</w:t>
            </w:r>
            <w:r>
              <w:rPr>
                <w:rFonts w:hint="eastAsia" w:ascii="宋体" w:hAnsi="宋体" w:cs="宋体"/>
                <w:kern w:val="0"/>
              </w:rPr>
              <w:t>部分项目未按计划时间完成的，本指标得分</w:t>
            </w:r>
            <w:r>
              <w:rPr>
                <w:rFonts w:ascii="宋体" w:hAnsi="宋体" w:cs="宋体"/>
                <w:kern w:val="0"/>
              </w:rPr>
              <w:t>=</w:t>
            </w:r>
            <w:r>
              <w:rPr>
                <w:rFonts w:hint="eastAsia" w:ascii="宋体" w:hAnsi="宋体" w:cs="宋体"/>
                <w:kern w:val="0"/>
              </w:rPr>
              <w:t>已完成项目数</w:t>
            </w:r>
            <w:r>
              <w:rPr>
                <w:rFonts w:ascii="宋体" w:hAnsi="宋体" w:cs="宋体"/>
                <w:kern w:val="0"/>
              </w:rPr>
              <w:t>/</w:t>
            </w:r>
            <w:r>
              <w:rPr>
                <w:rFonts w:hint="eastAsia" w:ascii="宋体" w:hAnsi="宋体" w:cs="宋体"/>
                <w:kern w:val="0"/>
              </w:rPr>
              <w:t>计划完成项目总数×</w:t>
            </w:r>
            <w:r>
              <w:rPr>
                <w:rFonts w:ascii="宋体" w:hAnsi="宋体" w:cs="宋体"/>
                <w:kern w:val="0"/>
              </w:rPr>
              <w:t>6</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6.00</w:t>
            </w:r>
          </w:p>
        </w:tc>
      </w:tr>
      <w:tr>
        <w:tblPrEx>
          <w:tblCellMar>
            <w:top w:w="0" w:type="dxa"/>
            <w:left w:w="28" w:type="dxa"/>
            <w:bottom w:w="0" w:type="dxa"/>
            <w:right w:w="28" w:type="dxa"/>
          </w:tblCellMar>
        </w:tblPrEx>
        <w:trPr>
          <w:trHeight w:val="6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社会效益、经济效益、生态效益及可持续影响等</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7665"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18.00</w:t>
            </w:r>
          </w:p>
        </w:tc>
      </w:tr>
      <w:tr>
        <w:tblPrEx>
          <w:tblCellMar>
            <w:top w:w="0" w:type="dxa"/>
            <w:left w:w="28" w:type="dxa"/>
            <w:bottom w:w="0" w:type="dxa"/>
            <w:right w:w="28" w:type="dxa"/>
          </w:tblCellMar>
        </w:tblPrEx>
        <w:trPr>
          <w:trHeight w:val="12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9</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7665"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kern w:val="0"/>
              </w:rPr>
            </w:pPr>
            <w:r>
              <w:rPr>
                <w:rFonts w:ascii="宋体" w:hAnsi="宋体" w:cs="宋体"/>
                <w:kern w:val="0"/>
              </w:rPr>
              <w:t>1.</w:t>
            </w:r>
            <w:r>
              <w:rPr>
                <w:rFonts w:hint="eastAsia" w:ascii="宋体" w:hAnsi="宋体" w:cs="宋体"/>
                <w:kern w:val="0"/>
              </w:rPr>
              <w:t>建立了便利的群众意见反映渠道和群众意见办理回复机制（</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当年度群众信访办理回复率达</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3.</w:t>
            </w:r>
            <w:r>
              <w:rPr>
                <w:rFonts w:hint="eastAsia" w:ascii="宋体" w:hAnsi="宋体" w:cs="宋体"/>
                <w:kern w:val="0"/>
              </w:rPr>
              <w:t>当年度群众信访及时办理回复率达</w:t>
            </w:r>
            <w:r>
              <w:rPr>
                <w:rFonts w:ascii="宋体" w:hAnsi="宋体" w:cs="宋体"/>
                <w:kern w:val="0"/>
              </w:rPr>
              <w:t>100%</w:t>
            </w:r>
            <w:r>
              <w:rPr>
                <w:rFonts w:hint="eastAsia" w:ascii="宋体" w:hAnsi="宋体" w:cs="宋体"/>
                <w:kern w:val="0"/>
              </w:rPr>
              <w:t>，未发生超期（</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3.00</w:t>
            </w:r>
          </w:p>
        </w:tc>
      </w:tr>
      <w:tr>
        <w:tblPrEx>
          <w:tblCellMar>
            <w:top w:w="0" w:type="dxa"/>
            <w:left w:w="28" w:type="dxa"/>
            <w:bottom w:w="0" w:type="dxa"/>
            <w:right w:w="28" w:type="dxa"/>
          </w:tblCellMar>
        </w:tblPrEx>
        <w:trPr>
          <w:trHeight w:val="140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7665"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区统计部门的数据、年度区直民主评议政风行风评价结果等数据，或者参考群众信访反馈的普遍性问题、本部门或权威第三方机构的开展满意度调查等进行分档计分。</w:t>
            </w:r>
          </w:p>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6</w:t>
            </w:r>
            <w:r>
              <w:rPr>
                <w:rFonts w:hint="eastAsia" w:ascii="宋体" w:hAnsi="宋体" w:cs="宋体"/>
                <w:kern w:val="0"/>
              </w:rPr>
              <w:t>分；</w:t>
            </w:r>
          </w:p>
          <w:p>
            <w:pPr>
              <w:widowControl/>
              <w:spacing w:line="320" w:lineRule="exact"/>
              <w:ind w:firstLine="420"/>
              <w:rPr>
                <w:rFonts w:ascii="宋体"/>
                <w:kern w:val="0"/>
              </w:rPr>
            </w:pPr>
            <w:r>
              <w:rPr>
                <w:rFonts w:ascii="宋体" w:cs="宋体"/>
                <w:kern w:val="0"/>
              </w:rPr>
              <w:t>2.</w:t>
            </w:r>
            <w:r>
              <w:rPr>
                <w:rFonts w:ascii="宋体" w:hAnsi="宋体" w:cs="宋体"/>
                <w:kern w:val="0"/>
              </w:rPr>
              <w:t xml:space="preserve"> 90%</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4</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3. 80%</w:t>
            </w:r>
            <w:r>
              <w:rPr>
                <w:rFonts w:hint="eastAsia" w:ascii="宋体" w:hAnsi="宋体" w:cs="宋体"/>
                <w:kern w:val="0"/>
              </w:rPr>
              <w:t>≤满意度＜</w:t>
            </w:r>
            <w:r>
              <w:rPr>
                <w:rFonts w:ascii="宋体" w:hAnsi="宋体" w:cs="宋体"/>
                <w:kern w:val="0"/>
              </w:rPr>
              <w:t>90%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 xml:space="preserve">4. </w:t>
            </w:r>
            <w:r>
              <w:rPr>
                <w:rFonts w:hint="eastAsia" w:ascii="宋体" w:hAnsi="宋体" w:cs="宋体"/>
                <w:kern w:val="0"/>
              </w:rPr>
              <w:t>满意度＜</w:t>
            </w:r>
            <w:r>
              <w:rPr>
                <w:rFonts w:ascii="宋体" w:hAnsi="宋体" w:cs="宋体"/>
                <w:kern w:val="0"/>
              </w:rPr>
              <w:t>80%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tc>
        <w:tc>
          <w:tcPr>
            <w:tcW w:w="533"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color w:val="000000"/>
                <w:sz w:val="18"/>
                <w:szCs w:val="18"/>
              </w:rPr>
              <w:t>4.00</w:t>
            </w:r>
          </w:p>
        </w:tc>
      </w:tr>
      <w:tr>
        <w:tblPrEx>
          <w:tblCellMar>
            <w:top w:w="0" w:type="dxa"/>
            <w:left w:w="28" w:type="dxa"/>
            <w:bottom w:w="0" w:type="dxa"/>
            <w:right w:w="28" w:type="dxa"/>
          </w:tblCellMar>
        </w:tblPrEx>
        <w:trPr>
          <w:trHeight w:val="851" w:hRule="atLeast"/>
          <w:jc w:val="center"/>
        </w:trPr>
        <w:tc>
          <w:tcPr>
            <w:tcW w:w="13990"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ascii="宋体" w:hAnsi="宋体" w:cs="宋体"/>
                <w:kern w:val="0"/>
              </w:rPr>
            </w:pPr>
            <w:r>
              <w:rPr>
                <w:rFonts w:hint="eastAsia" w:ascii="宋体" w:hAnsi="宋体" w:cs="宋体"/>
                <w:b/>
                <w:bCs/>
                <w:kern w:val="0"/>
              </w:rPr>
              <w:t>合      计</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color w:val="000000"/>
                <w:kern w:val="0"/>
                <w:sz w:val="18"/>
                <w:szCs w:val="18"/>
                <w:lang w:val="en-US" w:eastAsia="zh-CN"/>
              </w:rPr>
            </w:pPr>
            <w:r>
              <w:rPr>
                <w:rFonts w:hint="eastAsia"/>
                <w:color w:val="000000"/>
                <w:sz w:val="18"/>
                <w:szCs w:val="18"/>
              </w:rPr>
              <w:t>91.</w:t>
            </w:r>
            <w:r>
              <w:rPr>
                <w:rFonts w:hint="eastAsia"/>
                <w:color w:val="000000"/>
                <w:sz w:val="18"/>
                <w:szCs w:val="18"/>
                <w:lang w:val="en-US" w:eastAsia="zh-CN"/>
              </w:rPr>
              <w:t>49</w:t>
            </w:r>
          </w:p>
        </w:tc>
      </w:tr>
    </w:tbl>
    <w:p>
      <w:bookmarkStart w:id="0" w:name="_GoBack"/>
      <w:bookmarkEnd w:id="0"/>
    </w:p>
    <w:sectPr>
      <w:headerReference r:id="rId3" w:type="default"/>
      <w:footerReference r:id="rId4" w:type="default"/>
      <w:pgSz w:w="16838" w:h="11906" w:orient="landscape"/>
      <w:pgMar w:top="1417" w:right="1134" w:bottom="1020" w:left="1134"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cs="Times New Roman"/>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- 8 -</w:t>
    </w:r>
    <w:r>
      <w:rPr>
        <w:rStyle w:val="7"/>
        <w:rFonts w:ascii="宋体" w:hAnsi="宋体" w:cs="宋体"/>
        <w:sz w:val="28"/>
        <w:szCs w:val="28"/>
      </w:rPr>
      <w:fldChar w:fldCharType="end"/>
    </w:r>
  </w:p>
  <w:p>
    <w:pPr>
      <w:pStyle w:val="3"/>
      <w:ind w:right="360" w:firstLine="360"/>
      <w:jc w:val="center"/>
      <w:rPr>
        <w:rFonts w:cs="Times New Roman"/>
      </w:rPr>
    </w:pP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0221147" o:spid="_x0000_s2066" o:spt="136" type="#_x0000_t136" style="position:absolute;left:0pt;margin-left:737.45pt;margin-top:282.2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9962104" o:spid="_x0000_s2065" o:spt="136" type="#_x0000_t136" style="position:absolute;left:0pt;margin-left:535.2pt;margin-top:484.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9459086" o:spid="_x0000_s2064" o:spt="136" type="#_x0000_t136" style="position:absolute;left:0pt;margin-left:737.45pt;margin-top:76.9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9269477" o:spid="_x0000_s2063" o:spt="136" type="#_x0000_t136" style="position:absolute;left:0pt;margin-left:535.2pt;margin-top:279.1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8348493" o:spid="_x0000_s2062" o:spt="136" type="#_x0000_t136" style="position:absolute;left:0pt;margin-left:332.95pt;margin-top:481.4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7749539" o:spid="_x0000_s2061" o:spt="136" type="#_x0000_t136" style="position:absolute;left:0pt;margin-left:737.45pt;margin-top:-128.4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6943621" o:spid="_x0000_s2060" o:spt="136" type="#_x0000_t136" style="position:absolute;left:0pt;margin-left:535.2pt;margin-top:73.8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6463690" o:spid="_x0000_s2059" o:spt="136" type="#_x0000_t136" style="position:absolute;left:0pt;margin-left:332.95pt;margin-top:276.1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5809939" o:spid="_x0000_s2058" o:spt="136" type="#_x0000_t136" style="position:absolute;left:0pt;margin-left:130.75pt;margin-top:478.3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5016042" o:spid="_x0000_s2057" o:spt="136" type="#_x0000_t136" style="position:absolute;left:0pt;margin-left:535.2pt;margin-top:-131.4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4885534" o:spid="_x0000_s2056" o:spt="136" type="#_x0000_t136" style="position:absolute;left:0pt;margin-left:332.95pt;margin-top:70.7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4103920" o:spid="_x0000_s2055" o:spt="136" type="#_x0000_t136" style="position:absolute;left:0pt;margin-left:130.75pt;margin-top:273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3297483" o:spid="_x0000_s2054" o:spt="136" type="#_x0000_t136" style="position:absolute;left:0pt;margin-left:-71.5pt;margin-top:475.2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3204436" o:spid="_x0000_s2053" o:spt="136" type="#_x0000_t136" style="position:absolute;left:0pt;margin-left:332.95pt;margin-top:-134.55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2679126" o:spid="_x0000_s2052" o:spt="136" type="#_x0000_t136" style="position:absolute;left:0pt;margin-left:130.75pt;margin-top:67.7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1827278" o:spid="_x0000_s2051" o:spt="136" type="#_x0000_t136" style="position:absolute;left:0pt;margin-left:-71.5pt;margin-top:269.9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1065934" o:spid="_x0000_s2050" o:spt="136" type="#_x0000_t136" style="position:absolute;left:0pt;margin-left:130.75pt;margin-top:-137.6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729541" o:spid="_x0000_s2049" o:spt="136" type="#_x0000_t136" style="position:absolute;left:0pt;margin-left:-71.5pt;margin-top:64.6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CD"/>
    <w:rsid w:val="00010F2B"/>
    <w:rsid w:val="00013D68"/>
    <w:rsid w:val="000147FA"/>
    <w:rsid w:val="00040A6C"/>
    <w:rsid w:val="00061CA6"/>
    <w:rsid w:val="00065498"/>
    <w:rsid w:val="00067B4D"/>
    <w:rsid w:val="00077877"/>
    <w:rsid w:val="00091915"/>
    <w:rsid w:val="000A0000"/>
    <w:rsid w:val="000A65F6"/>
    <w:rsid w:val="000B39BA"/>
    <w:rsid w:val="000C1612"/>
    <w:rsid w:val="000C1675"/>
    <w:rsid w:val="000D0971"/>
    <w:rsid w:val="000D34F8"/>
    <w:rsid w:val="000E6091"/>
    <w:rsid w:val="000F4A93"/>
    <w:rsid w:val="000F74F9"/>
    <w:rsid w:val="00101CC3"/>
    <w:rsid w:val="00111343"/>
    <w:rsid w:val="00111A0F"/>
    <w:rsid w:val="00113359"/>
    <w:rsid w:val="00123A58"/>
    <w:rsid w:val="00124E20"/>
    <w:rsid w:val="0013099D"/>
    <w:rsid w:val="00147B19"/>
    <w:rsid w:val="00157B85"/>
    <w:rsid w:val="001800F3"/>
    <w:rsid w:val="00183F4C"/>
    <w:rsid w:val="00185E11"/>
    <w:rsid w:val="00191A4B"/>
    <w:rsid w:val="00194D7D"/>
    <w:rsid w:val="001A540F"/>
    <w:rsid w:val="001A6108"/>
    <w:rsid w:val="001B092A"/>
    <w:rsid w:val="001C38B0"/>
    <w:rsid w:val="001C501D"/>
    <w:rsid w:val="001C58FF"/>
    <w:rsid w:val="001C612C"/>
    <w:rsid w:val="001E3C57"/>
    <w:rsid w:val="001F7844"/>
    <w:rsid w:val="002027FE"/>
    <w:rsid w:val="002039A9"/>
    <w:rsid w:val="0022003B"/>
    <w:rsid w:val="00222914"/>
    <w:rsid w:val="00225B4A"/>
    <w:rsid w:val="0023001C"/>
    <w:rsid w:val="00237E7C"/>
    <w:rsid w:val="002457F3"/>
    <w:rsid w:val="002563D9"/>
    <w:rsid w:val="00260448"/>
    <w:rsid w:val="002662C5"/>
    <w:rsid w:val="00273381"/>
    <w:rsid w:val="00281760"/>
    <w:rsid w:val="002871C8"/>
    <w:rsid w:val="002930B4"/>
    <w:rsid w:val="002965A6"/>
    <w:rsid w:val="002A3059"/>
    <w:rsid w:val="002A35F7"/>
    <w:rsid w:val="002A6226"/>
    <w:rsid w:val="002B2EAE"/>
    <w:rsid w:val="002C584A"/>
    <w:rsid w:val="002D29FB"/>
    <w:rsid w:val="002D2F38"/>
    <w:rsid w:val="002F12A6"/>
    <w:rsid w:val="003127C9"/>
    <w:rsid w:val="00312F09"/>
    <w:rsid w:val="003241C1"/>
    <w:rsid w:val="0033286C"/>
    <w:rsid w:val="0034178B"/>
    <w:rsid w:val="003438D1"/>
    <w:rsid w:val="00353F49"/>
    <w:rsid w:val="00355618"/>
    <w:rsid w:val="00382E82"/>
    <w:rsid w:val="00386E53"/>
    <w:rsid w:val="0039081D"/>
    <w:rsid w:val="003A1F5A"/>
    <w:rsid w:val="003A2BD3"/>
    <w:rsid w:val="003C61A8"/>
    <w:rsid w:val="003D63CD"/>
    <w:rsid w:val="003E1C5F"/>
    <w:rsid w:val="003F3642"/>
    <w:rsid w:val="003F6B15"/>
    <w:rsid w:val="00401028"/>
    <w:rsid w:val="00402245"/>
    <w:rsid w:val="00410CB8"/>
    <w:rsid w:val="00410E0B"/>
    <w:rsid w:val="004153F8"/>
    <w:rsid w:val="00417829"/>
    <w:rsid w:val="00427076"/>
    <w:rsid w:val="00427CDB"/>
    <w:rsid w:val="004336C3"/>
    <w:rsid w:val="004424AD"/>
    <w:rsid w:val="00444EA8"/>
    <w:rsid w:val="00445F4B"/>
    <w:rsid w:val="00462D1B"/>
    <w:rsid w:val="00471AB4"/>
    <w:rsid w:val="004A38C8"/>
    <w:rsid w:val="004A4CF9"/>
    <w:rsid w:val="004B7D42"/>
    <w:rsid w:val="004B7EF8"/>
    <w:rsid w:val="004B7F02"/>
    <w:rsid w:val="004F4E7F"/>
    <w:rsid w:val="005115A0"/>
    <w:rsid w:val="005166B1"/>
    <w:rsid w:val="00516A85"/>
    <w:rsid w:val="0052669C"/>
    <w:rsid w:val="00547D84"/>
    <w:rsid w:val="005674FF"/>
    <w:rsid w:val="005748FB"/>
    <w:rsid w:val="00576332"/>
    <w:rsid w:val="005B419F"/>
    <w:rsid w:val="005C0F1F"/>
    <w:rsid w:val="005C5C54"/>
    <w:rsid w:val="005D1D21"/>
    <w:rsid w:val="005D58A4"/>
    <w:rsid w:val="005E2C1B"/>
    <w:rsid w:val="005E3A85"/>
    <w:rsid w:val="00606D53"/>
    <w:rsid w:val="006206EC"/>
    <w:rsid w:val="006256A4"/>
    <w:rsid w:val="006572FC"/>
    <w:rsid w:val="00660D89"/>
    <w:rsid w:val="00665D73"/>
    <w:rsid w:val="00674821"/>
    <w:rsid w:val="00684684"/>
    <w:rsid w:val="00697EE2"/>
    <w:rsid w:val="006B49E3"/>
    <w:rsid w:val="006B63B0"/>
    <w:rsid w:val="006B70FD"/>
    <w:rsid w:val="006D2A0D"/>
    <w:rsid w:val="006E1110"/>
    <w:rsid w:val="006E4F97"/>
    <w:rsid w:val="00710E77"/>
    <w:rsid w:val="00716358"/>
    <w:rsid w:val="00723418"/>
    <w:rsid w:val="007309B8"/>
    <w:rsid w:val="007316FA"/>
    <w:rsid w:val="00731B17"/>
    <w:rsid w:val="00735C91"/>
    <w:rsid w:val="00753201"/>
    <w:rsid w:val="00756A7D"/>
    <w:rsid w:val="00772B1C"/>
    <w:rsid w:val="007777F3"/>
    <w:rsid w:val="00784609"/>
    <w:rsid w:val="007859DE"/>
    <w:rsid w:val="007934EE"/>
    <w:rsid w:val="007B199F"/>
    <w:rsid w:val="007B226F"/>
    <w:rsid w:val="007B28BF"/>
    <w:rsid w:val="007B2B3B"/>
    <w:rsid w:val="007C3533"/>
    <w:rsid w:val="007C44E5"/>
    <w:rsid w:val="007C6153"/>
    <w:rsid w:val="007D6343"/>
    <w:rsid w:val="007E2748"/>
    <w:rsid w:val="007F00E3"/>
    <w:rsid w:val="007F6EE7"/>
    <w:rsid w:val="0082261E"/>
    <w:rsid w:val="008344DE"/>
    <w:rsid w:val="00837244"/>
    <w:rsid w:val="00840A62"/>
    <w:rsid w:val="00855436"/>
    <w:rsid w:val="0087071D"/>
    <w:rsid w:val="00872E0C"/>
    <w:rsid w:val="00872E35"/>
    <w:rsid w:val="00875DA5"/>
    <w:rsid w:val="008770FD"/>
    <w:rsid w:val="00895797"/>
    <w:rsid w:val="008A0D76"/>
    <w:rsid w:val="008C2546"/>
    <w:rsid w:val="008C3836"/>
    <w:rsid w:val="008D04B2"/>
    <w:rsid w:val="008D63DD"/>
    <w:rsid w:val="008D7709"/>
    <w:rsid w:val="008E40D2"/>
    <w:rsid w:val="008F063E"/>
    <w:rsid w:val="008F7640"/>
    <w:rsid w:val="00901A6C"/>
    <w:rsid w:val="00913A22"/>
    <w:rsid w:val="009164F2"/>
    <w:rsid w:val="00916E24"/>
    <w:rsid w:val="009217F3"/>
    <w:rsid w:val="00923510"/>
    <w:rsid w:val="009350BA"/>
    <w:rsid w:val="0093717E"/>
    <w:rsid w:val="00942E0F"/>
    <w:rsid w:val="00946784"/>
    <w:rsid w:val="00957B9A"/>
    <w:rsid w:val="00974385"/>
    <w:rsid w:val="00984561"/>
    <w:rsid w:val="009A33A1"/>
    <w:rsid w:val="009A5E2B"/>
    <w:rsid w:val="009A6ED6"/>
    <w:rsid w:val="009C5BF4"/>
    <w:rsid w:val="009D3C93"/>
    <w:rsid w:val="00A046D0"/>
    <w:rsid w:val="00A04B32"/>
    <w:rsid w:val="00A2021E"/>
    <w:rsid w:val="00A3010C"/>
    <w:rsid w:val="00A30C38"/>
    <w:rsid w:val="00A626B6"/>
    <w:rsid w:val="00A6342C"/>
    <w:rsid w:val="00A64820"/>
    <w:rsid w:val="00A65748"/>
    <w:rsid w:val="00A662B6"/>
    <w:rsid w:val="00A736E2"/>
    <w:rsid w:val="00A77C0C"/>
    <w:rsid w:val="00A82F19"/>
    <w:rsid w:val="00A86B83"/>
    <w:rsid w:val="00AB2C2C"/>
    <w:rsid w:val="00AB71B6"/>
    <w:rsid w:val="00AD3928"/>
    <w:rsid w:val="00AD7C3A"/>
    <w:rsid w:val="00AE2FAA"/>
    <w:rsid w:val="00AE705B"/>
    <w:rsid w:val="00AF75D1"/>
    <w:rsid w:val="00B00389"/>
    <w:rsid w:val="00B01173"/>
    <w:rsid w:val="00B0125C"/>
    <w:rsid w:val="00B1491C"/>
    <w:rsid w:val="00B20DE8"/>
    <w:rsid w:val="00B32205"/>
    <w:rsid w:val="00B33DB3"/>
    <w:rsid w:val="00B3527A"/>
    <w:rsid w:val="00B45810"/>
    <w:rsid w:val="00B65138"/>
    <w:rsid w:val="00B704A6"/>
    <w:rsid w:val="00B735F0"/>
    <w:rsid w:val="00B82275"/>
    <w:rsid w:val="00B855FF"/>
    <w:rsid w:val="00B93969"/>
    <w:rsid w:val="00B95149"/>
    <w:rsid w:val="00B96AC7"/>
    <w:rsid w:val="00BA2958"/>
    <w:rsid w:val="00BE7565"/>
    <w:rsid w:val="00BF5D47"/>
    <w:rsid w:val="00BF6378"/>
    <w:rsid w:val="00BF6811"/>
    <w:rsid w:val="00C0118B"/>
    <w:rsid w:val="00C035CE"/>
    <w:rsid w:val="00C17AA8"/>
    <w:rsid w:val="00C22DA5"/>
    <w:rsid w:val="00C24251"/>
    <w:rsid w:val="00C34B00"/>
    <w:rsid w:val="00C43F5B"/>
    <w:rsid w:val="00C442A7"/>
    <w:rsid w:val="00C55EE5"/>
    <w:rsid w:val="00C705D2"/>
    <w:rsid w:val="00C71BA5"/>
    <w:rsid w:val="00C96E18"/>
    <w:rsid w:val="00CA47C0"/>
    <w:rsid w:val="00CB2136"/>
    <w:rsid w:val="00CC0E74"/>
    <w:rsid w:val="00CC4015"/>
    <w:rsid w:val="00CC560A"/>
    <w:rsid w:val="00CD364A"/>
    <w:rsid w:val="00CE54F3"/>
    <w:rsid w:val="00D31A89"/>
    <w:rsid w:val="00D42569"/>
    <w:rsid w:val="00D43124"/>
    <w:rsid w:val="00D567BC"/>
    <w:rsid w:val="00D65D87"/>
    <w:rsid w:val="00D72F98"/>
    <w:rsid w:val="00D73B70"/>
    <w:rsid w:val="00D8409D"/>
    <w:rsid w:val="00D849B8"/>
    <w:rsid w:val="00D93EF0"/>
    <w:rsid w:val="00DB1D93"/>
    <w:rsid w:val="00DB5563"/>
    <w:rsid w:val="00DB73CD"/>
    <w:rsid w:val="00DC53EE"/>
    <w:rsid w:val="00DC6836"/>
    <w:rsid w:val="00DD34C5"/>
    <w:rsid w:val="00DE3906"/>
    <w:rsid w:val="00DF36EA"/>
    <w:rsid w:val="00E01BE8"/>
    <w:rsid w:val="00E059F3"/>
    <w:rsid w:val="00E2119F"/>
    <w:rsid w:val="00E252E8"/>
    <w:rsid w:val="00E411AA"/>
    <w:rsid w:val="00E71412"/>
    <w:rsid w:val="00E84A4F"/>
    <w:rsid w:val="00EA16D6"/>
    <w:rsid w:val="00EA715B"/>
    <w:rsid w:val="00EB5094"/>
    <w:rsid w:val="00EB5A7E"/>
    <w:rsid w:val="00EB62E9"/>
    <w:rsid w:val="00EC3237"/>
    <w:rsid w:val="00EC628C"/>
    <w:rsid w:val="00EC73A2"/>
    <w:rsid w:val="00ED34E5"/>
    <w:rsid w:val="00ED7D07"/>
    <w:rsid w:val="00EE2BDA"/>
    <w:rsid w:val="00EE63E1"/>
    <w:rsid w:val="00F064BD"/>
    <w:rsid w:val="00F21579"/>
    <w:rsid w:val="00F26C91"/>
    <w:rsid w:val="00F30662"/>
    <w:rsid w:val="00F35997"/>
    <w:rsid w:val="00F41A57"/>
    <w:rsid w:val="00F54361"/>
    <w:rsid w:val="00F83915"/>
    <w:rsid w:val="00F85003"/>
    <w:rsid w:val="00F85BCF"/>
    <w:rsid w:val="00F8671E"/>
    <w:rsid w:val="00F87171"/>
    <w:rsid w:val="00F9046A"/>
    <w:rsid w:val="00F956E1"/>
    <w:rsid w:val="00FB7CEF"/>
    <w:rsid w:val="00FE7EE5"/>
    <w:rsid w:val="00FF1475"/>
    <w:rsid w:val="00FF5CBE"/>
    <w:rsid w:val="0236438B"/>
    <w:rsid w:val="0462067A"/>
    <w:rsid w:val="04A63247"/>
    <w:rsid w:val="084622D2"/>
    <w:rsid w:val="1982762C"/>
    <w:rsid w:val="1EA7173C"/>
    <w:rsid w:val="205C47BE"/>
    <w:rsid w:val="226E3CB1"/>
    <w:rsid w:val="254A48C1"/>
    <w:rsid w:val="31CB7421"/>
    <w:rsid w:val="38161FFA"/>
    <w:rsid w:val="435D694C"/>
    <w:rsid w:val="474D6A1A"/>
    <w:rsid w:val="526B0B13"/>
    <w:rsid w:val="52D01B5E"/>
    <w:rsid w:val="53C2797C"/>
    <w:rsid w:val="5BF76085"/>
    <w:rsid w:val="5DD02476"/>
    <w:rsid w:val="60A339CE"/>
    <w:rsid w:val="62FE614F"/>
    <w:rsid w:val="65A46FFF"/>
    <w:rsid w:val="686A6DF4"/>
    <w:rsid w:val="71817586"/>
    <w:rsid w:val="7D320CD2"/>
    <w:rsid w:val="9EA617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脚 字符"/>
    <w:link w:val="3"/>
    <w:qFormat/>
    <w:locked/>
    <w:uiPriority w:val="99"/>
    <w:rPr>
      <w:rFonts w:ascii="Calibri" w:hAnsi="Calibri" w:eastAsia="宋体" w:cs="Calibri"/>
      <w:sz w:val="18"/>
      <w:szCs w:val="18"/>
    </w:rPr>
  </w:style>
  <w:style w:type="character" w:customStyle="1" w:styleId="9">
    <w:name w:val="批注框文本 字符"/>
    <w:link w:val="2"/>
    <w:semiHidden/>
    <w:qFormat/>
    <w:locked/>
    <w:uiPriority w:val="99"/>
    <w:rPr>
      <w:rFonts w:ascii="Times New Roman" w:hAnsi="Times New Roman" w:eastAsia="宋体" w:cs="Times New Roman"/>
      <w:sz w:val="18"/>
      <w:szCs w:val="18"/>
    </w:rPr>
  </w:style>
  <w:style w:type="character" w:customStyle="1" w:styleId="10">
    <w:name w:val="页眉 字符"/>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752</Words>
  <Characters>4289</Characters>
  <Lines>35</Lines>
  <Paragraphs>10</Paragraphs>
  <TotalTime>5</TotalTime>
  <ScaleCrop>false</ScaleCrop>
  <LinksUpToDate>false</LinksUpToDate>
  <CharactersWithSpaces>5031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2021-04-18T17:12:00Z</dcterms:created>
  <dc:creator>沈洋</dc:creator>
  <cp:lastModifiedBy>尜洁</cp:lastModifiedBy>
  <cp:lastPrinted>2020-03-04T21:35:00Z</cp:lastPrinted>
  <dcterms:modified xsi:type="dcterms:W3CDTF">2021-05-13T06:33:21Z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D2D16823A3A24282AD4D58F92CCB7690</vt:lpwstr>
  </property>
</Properties>
</file>