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新宋体" w:hAnsi="新宋体" w:eastAsia="新宋体" w:cs="新宋体"/>
          <w:b/>
          <w:sz w:val="44"/>
          <w:szCs w:val="21"/>
        </w:rPr>
      </w:pPr>
    </w:p>
    <w:p>
      <w:pPr>
        <w:widowControl/>
        <w:shd w:val="clear" w:color="auto" w:fill="FFFFFF"/>
        <w:spacing w:line="360" w:lineRule="auto"/>
        <w:jc w:val="center"/>
        <w:rPr>
          <w:rFonts w:ascii="新宋体" w:hAnsi="新宋体" w:eastAsia="新宋体" w:cs="新宋体"/>
          <w:b/>
          <w:sz w:val="52"/>
        </w:rPr>
      </w:pPr>
      <w:r>
        <w:rPr>
          <w:rFonts w:hint="eastAsia" w:ascii="新宋体" w:hAnsi="新宋体" w:eastAsia="新宋体" w:cs="新宋体"/>
          <w:b/>
          <w:sz w:val="52"/>
        </w:rPr>
        <w:t>深圳市南山区珠光小学</w:t>
      </w:r>
    </w:p>
    <w:p>
      <w:pPr>
        <w:widowControl/>
        <w:shd w:val="clear" w:color="auto" w:fill="FFFFFF"/>
        <w:spacing w:line="360" w:lineRule="auto"/>
        <w:jc w:val="center"/>
        <w:rPr>
          <w:rFonts w:ascii="新宋体" w:hAnsi="新宋体" w:eastAsia="新宋体" w:cs="新宋体"/>
          <w:b/>
          <w:kern w:val="0"/>
          <w:sz w:val="52"/>
        </w:rPr>
      </w:pPr>
      <w:r>
        <w:rPr>
          <w:rFonts w:hint="eastAsia" w:ascii="新宋体" w:hAnsi="新宋体" w:eastAsia="新宋体" w:cs="新宋体"/>
          <w:b/>
          <w:kern w:val="0"/>
          <w:sz w:val="52"/>
        </w:rPr>
        <w:t>校园电视台项目</w:t>
      </w:r>
    </w:p>
    <w:p>
      <w:pPr>
        <w:widowControl/>
        <w:shd w:val="clear" w:color="auto" w:fill="FFFFFF"/>
        <w:spacing w:line="360" w:lineRule="auto"/>
        <w:jc w:val="center"/>
        <w:rPr>
          <w:rFonts w:ascii="新宋体" w:hAnsi="新宋体" w:eastAsia="新宋体" w:cs="新宋体"/>
          <w:b/>
          <w:kern w:val="0"/>
          <w:sz w:val="44"/>
          <w:szCs w:val="21"/>
        </w:rPr>
      </w:pPr>
    </w:p>
    <w:p>
      <w:pPr>
        <w:widowControl/>
        <w:shd w:val="clear" w:color="auto" w:fill="FFFFFF"/>
        <w:spacing w:line="360" w:lineRule="auto"/>
        <w:jc w:val="center"/>
        <w:rPr>
          <w:rFonts w:ascii="新宋体" w:hAnsi="新宋体" w:eastAsia="新宋体" w:cs="新宋体"/>
          <w:b/>
          <w:kern w:val="0"/>
          <w:sz w:val="44"/>
          <w:szCs w:val="21"/>
        </w:rPr>
      </w:pPr>
    </w:p>
    <w:p>
      <w:pPr>
        <w:widowControl/>
        <w:shd w:val="clear" w:color="auto" w:fill="FFFFFF"/>
        <w:spacing w:line="360" w:lineRule="auto"/>
        <w:jc w:val="center"/>
        <w:rPr>
          <w:rFonts w:ascii="新宋体" w:hAnsi="新宋体" w:eastAsia="新宋体" w:cs="新宋体"/>
          <w:b/>
          <w:kern w:val="0"/>
          <w:sz w:val="44"/>
          <w:szCs w:val="21"/>
        </w:rPr>
      </w:pPr>
    </w:p>
    <w:p>
      <w:pPr>
        <w:widowControl/>
        <w:shd w:val="clear" w:color="auto" w:fill="FFFFFF"/>
        <w:spacing w:line="360" w:lineRule="auto"/>
        <w:jc w:val="center"/>
        <w:rPr>
          <w:rFonts w:ascii="新宋体" w:hAnsi="新宋体" w:eastAsia="新宋体" w:cs="新宋体"/>
          <w:b/>
          <w:kern w:val="0"/>
          <w:sz w:val="44"/>
          <w:szCs w:val="21"/>
        </w:rPr>
      </w:pPr>
    </w:p>
    <w:p>
      <w:pPr>
        <w:widowControl/>
        <w:shd w:val="clear" w:color="auto" w:fill="FFFFFF"/>
        <w:spacing w:line="360" w:lineRule="auto"/>
        <w:jc w:val="center"/>
        <w:rPr>
          <w:rFonts w:ascii="新宋体" w:hAnsi="新宋体" w:eastAsia="新宋体" w:cs="新宋体"/>
          <w:b/>
          <w:kern w:val="0"/>
          <w:sz w:val="44"/>
          <w:szCs w:val="21"/>
        </w:rPr>
      </w:pPr>
    </w:p>
    <w:p>
      <w:pPr>
        <w:widowControl/>
        <w:shd w:val="clear" w:color="auto" w:fill="FFFFFF"/>
        <w:spacing w:line="360" w:lineRule="auto"/>
        <w:jc w:val="center"/>
        <w:rPr>
          <w:rFonts w:ascii="新宋体" w:hAnsi="新宋体" w:eastAsia="新宋体" w:cs="新宋体"/>
          <w:b/>
          <w:kern w:val="0"/>
          <w:sz w:val="44"/>
          <w:szCs w:val="21"/>
        </w:rPr>
      </w:pPr>
    </w:p>
    <w:p>
      <w:pPr>
        <w:widowControl/>
        <w:shd w:val="clear" w:color="auto" w:fill="FFFFFF"/>
        <w:spacing w:line="360" w:lineRule="auto"/>
        <w:rPr>
          <w:rFonts w:ascii="新宋体" w:hAnsi="新宋体" w:eastAsia="新宋体" w:cs="新宋体"/>
          <w:kern w:val="0"/>
          <w:szCs w:val="21"/>
          <w:u w:val="single"/>
        </w:rPr>
      </w:pPr>
    </w:p>
    <w:p>
      <w:pPr>
        <w:widowControl/>
        <w:shd w:val="clear" w:color="auto" w:fill="FFFFFF"/>
        <w:spacing w:line="360" w:lineRule="auto"/>
        <w:jc w:val="center"/>
        <w:rPr>
          <w:rFonts w:ascii="新宋体" w:hAnsi="新宋体" w:eastAsia="新宋体" w:cs="新宋体"/>
          <w:kern w:val="0"/>
          <w:sz w:val="96"/>
          <w:szCs w:val="160"/>
        </w:rPr>
      </w:pPr>
      <w:r>
        <w:rPr>
          <w:rFonts w:hint="eastAsia" w:ascii="新宋体" w:hAnsi="新宋体" w:eastAsia="新宋体" w:cs="新宋体"/>
          <w:kern w:val="0"/>
          <w:sz w:val="96"/>
          <w:szCs w:val="160"/>
        </w:rPr>
        <w:t>招标文件</w:t>
      </w: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center"/>
        <w:rPr>
          <w:rFonts w:ascii="新宋体" w:hAnsi="新宋体" w:eastAsia="新宋体" w:cs="新宋体"/>
          <w:b/>
          <w:bCs/>
          <w:kern w:val="0"/>
          <w:sz w:val="32"/>
          <w:szCs w:val="32"/>
        </w:rPr>
      </w:pPr>
      <w:r>
        <w:rPr>
          <w:rFonts w:hint="eastAsia" w:ascii="新宋体" w:hAnsi="新宋体" w:eastAsia="新宋体" w:cs="新宋体"/>
          <w:b/>
          <w:bCs/>
          <w:kern w:val="0"/>
          <w:sz w:val="32"/>
          <w:szCs w:val="32"/>
        </w:rPr>
        <w:t>2</w:t>
      </w:r>
      <w:r>
        <w:rPr>
          <w:rFonts w:ascii="新宋体" w:hAnsi="新宋体" w:eastAsia="新宋体" w:cs="新宋体"/>
          <w:b/>
          <w:bCs/>
          <w:kern w:val="0"/>
          <w:sz w:val="32"/>
          <w:szCs w:val="32"/>
        </w:rPr>
        <w:t>020</w:t>
      </w:r>
      <w:r>
        <w:rPr>
          <w:rFonts w:hint="eastAsia" w:ascii="新宋体" w:hAnsi="新宋体" w:eastAsia="新宋体" w:cs="新宋体"/>
          <w:b/>
          <w:bCs/>
          <w:kern w:val="0"/>
          <w:sz w:val="32"/>
          <w:szCs w:val="32"/>
        </w:rPr>
        <w:t xml:space="preserve">年6月 </w:t>
      </w:r>
      <w:r>
        <w:rPr>
          <w:rFonts w:ascii="新宋体" w:hAnsi="新宋体" w:eastAsia="新宋体" w:cs="新宋体"/>
          <w:b/>
          <w:bCs/>
          <w:kern w:val="0"/>
          <w:sz w:val="32"/>
          <w:szCs w:val="32"/>
        </w:rPr>
        <w:t xml:space="preserve">  </w:t>
      </w:r>
      <w:r>
        <w:rPr>
          <w:rFonts w:hint="eastAsia" w:ascii="新宋体" w:hAnsi="新宋体" w:eastAsia="新宋体" w:cs="新宋体"/>
          <w:b/>
          <w:bCs/>
          <w:kern w:val="0"/>
          <w:sz w:val="32"/>
          <w:szCs w:val="32"/>
        </w:rPr>
        <w:t>日</w:t>
      </w:r>
    </w:p>
    <w:p>
      <w:pPr>
        <w:widowControl/>
        <w:shd w:val="clear" w:color="auto" w:fill="FFFFFF"/>
        <w:spacing w:line="360" w:lineRule="auto"/>
        <w:jc w:val="left"/>
        <w:rPr>
          <w:rFonts w:ascii="新宋体" w:hAnsi="新宋体" w:eastAsia="新宋体" w:cs="新宋体"/>
          <w:kern w:val="0"/>
          <w:szCs w:val="21"/>
          <w:u w:val="single"/>
        </w:rPr>
      </w:pPr>
    </w:p>
    <w:p>
      <w:pPr>
        <w:widowControl/>
        <w:shd w:val="clear" w:color="auto" w:fill="FFFFFF"/>
        <w:spacing w:line="360" w:lineRule="auto"/>
        <w:jc w:val="left"/>
        <w:rPr>
          <w:rFonts w:ascii="新宋体" w:hAnsi="新宋体" w:eastAsia="新宋体" w:cs="新宋体"/>
          <w:kern w:val="0"/>
          <w:szCs w:val="21"/>
          <w:u w:val="single"/>
        </w:rPr>
      </w:pPr>
    </w:p>
    <w:p>
      <w:pPr>
        <w:widowControl/>
        <w:spacing w:line="360" w:lineRule="auto"/>
        <w:ind w:firstLine="480" w:firstLineChars="200"/>
        <w:jc w:val="left"/>
        <w:rPr>
          <w:rFonts w:ascii="新宋体" w:hAnsi="新宋体" w:eastAsia="新宋体" w:cs="新宋体"/>
          <w:b/>
          <w:bCs/>
          <w:color w:val="000000" w:themeColor="text1"/>
          <w:sz w:val="24"/>
          <w14:textFill>
            <w14:solidFill>
              <w14:schemeClr w14:val="tx1"/>
            </w14:solidFill>
          </w14:textFill>
        </w:rPr>
      </w:pPr>
      <w:bookmarkStart w:id="0" w:name="_Hlk5198240"/>
      <w:r>
        <w:rPr>
          <w:rFonts w:hint="eastAsia"/>
          <w:sz w:val="24"/>
        </w:rPr>
        <w:t>根据《深圳经济特区政府采购条例》</w:t>
      </w:r>
      <w:r>
        <w:rPr>
          <w:rFonts w:hint="eastAsia"/>
          <w:color w:val="000000"/>
          <w:sz w:val="24"/>
          <w:shd w:val="clear" w:color="auto" w:fill="FFFFFF"/>
        </w:rPr>
        <w:t>和《深圳网上政府采购管理暂行办法》等有关规定</w:t>
      </w:r>
      <w:r>
        <w:rPr>
          <w:rFonts w:hint="eastAsia"/>
          <w:sz w:val="24"/>
        </w:rPr>
        <w:t>，就</w:t>
      </w:r>
      <w:r>
        <w:rPr>
          <w:rFonts w:hint="eastAsia"/>
          <w:sz w:val="24"/>
          <w:u w:val="single"/>
        </w:rPr>
        <w:t>深圳市南山</w:t>
      </w:r>
      <w:r>
        <w:rPr>
          <w:rFonts w:hint="eastAsia"/>
          <w:color w:val="000000" w:themeColor="text1"/>
          <w:sz w:val="24"/>
          <w:u w:val="single"/>
          <w14:textFill>
            <w14:solidFill>
              <w14:schemeClr w14:val="tx1"/>
            </w14:solidFill>
          </w14:textFill>
        </w:rPr>
        <w:t>区珠光小学校园电视台</w:t>
      </w:r>
      <w:r>
        <w:rPr>
          <w:rFonts w:hint="eastAsia"/>
          <w:color w:val="000000" w:themeColor="text1"/>
          <w:sz w:val="24"/>
          <w:u w:val="single"/>
          <w:lang w:val="en-US" w:eastAsia="zh-CN"/>
          <w14:textFill>
            <w14:solidFill>
              <w14:schemeClr w14:val="tx1"/>
            </w14:solidFill>
          </w14:textFill>
        </w:rPr>
        <w:t>建设</w:t>
      </w:r>
      <w:r>
        <w:rPr>
          <w:rFonts w:hint="eastAsia"/>
          <w:color w:val="000000" w:themeColor="text1"/>
          <w:sz w:val="24"/>
          <w14:textFill>
            <w14:solidFill>
              <w14:schemeClr w14:val="tx1"/>
            </w14:solidFill>
          </w14:textFill>
        </w:rPr>
        <w:t>项目进行公开招标。有关事项如下：</w:t>
      </w:r>
    </w:p>
    <w:p>
      <w:pPr>
        <w:widowControl/>
        <w:spacing w:line="360" w:lineRule="auto"/>
        <w:jc w:val="left"/>
        <w:rPr>
          <w:rFonts w:ascii="新宋体" w:hAnsi="新宋体" w:eastAsia="新宋体" w:cs="新宋体"/>
          <w:b/>
          <w:bCs/>
          <w:color w:val="000000" w:themeColor="text1"/>
          <w:sz w:val="24"/>
          <w:u w:val="single"/>
          <w14:textFill>
            <w14:solidFill>
              <w14:schemeClr w14:val="tx1"/>
            </w14:solidFill>
          </w14:textFill>
        </w:rPr>
      </w:pPr>
      <w:r>
        <w:rPr>
          <w:rFonts w:hint="eastAsia" w:ascii="新宋体" w:hAnsi="新宋体" w:eastAsia="新宋体" w:cs="新宋体"/>
          <w:b/>
          <w:bCs/>
          <w:color w:val="000000" w:themeColor="text1"/>
          <w:sz w:val="24"/>
          <w14:textFill>
            <w14:solidFill>
              <w14:schemeClr w14:val="tx1"/>
            </w14:solidFill>
          </w14:textFill>
        </w:rPr>
        <w:t>一、项目编号：</w:t>
      </w:r>
      <w:r>
        <w:rPr>
          <w:rFonts w:ascii="新宋体" w:hAnsi="新宋体" w:eastAsia="新宋体" w:cs="新宋体"/>
          <w:b/>
          <w:bCs/>
          <w:color w:val="000000" w:themeColor="text1"/>
          <w:sz w:val="24"/>
          <w:u w:val="single"/>
          <w14:textFill>
            <w14:solidFill>
              <w14:schemeClr w14:val="tx1"/>
            </w14:solidFill>
          </w14:textFill>
        </w:rPr>
        <w:t xml:space="preserve"> </w:t>
      </w:r>
      <w:r>
        <w:rPr>
          <w:rFonts w:hint="eastAsia" w:ascii="新宋体" w:hAnsi="新宋体" w:eastAsia="新宋体" w:cs="新宋体"/>
          <w:b/>
          <w:bCs/>
          <w:color w:val="000000" w:themeColor="text1"/>
          <w:sz w:val="24"/>
          <w:u w:val="single"/>
          <w14:textFill>
            <w14:solidFill>
              <w14:schemeClr w14:val="tx1"/>
            </w14:solidFill>
          </w14:textFill>
        </w:rPr>
        <w:t>zgxx202004</w:t>
      </w:r>
      <w:r>
        <w:rPr>
          <w:rFonts w:ascii="新宋体" w:hAnsi="新宋体" w:eastAsia="新宋体" w:cs="新宋体"/>
          <w:b/>
          <w:bCs/>
          <w:color w:val="000000" w:themeColor="text1"/>
          <w:sz w:val="24"/>
          <w:u w:val="single"/>
          <w14:textFill>
            <w14:solidFill>
              <w14:schemeClr w14:val="tx1"/>
            </w14:solidFill>
          </w14:textFill>
        </w:rPr>
        <w:t xml:space="preserve">            </w:t>
      </w:r>
    </w:p>
    <w:p>
      <w:pPr>
        <w:widowControl/>
        <w:spacing w:line="360" w:lineRule="auto"/>
        <w:ind w:left="366" w:hanging="366" w:hangingChars="152"/>
        <w:outlineLvl w:val="0"/>
        <w:rPr>
          <w:rFonts w:hint="eastAsia" w:ascii="新宋体" w:hAnsi="新宋体" w:eastAsia="新宋体" w:cs="新宋体"/>
          <w:b/>
          <w:bCs/>
          <w:color w:val="000000" w:themeColor="text1"/>
          <w:sz w:val="24"/>
          <w:lang w:val="en-US" w:eastAsia="zh-CN"/>
          <w14:textFill>
            <w14:solidFill>
              <w14:schemeClr w14:val="tx1"/>
            </w14:solidFill>
          </w14:textFill>
        </w:rPr>
      </w:pPr>
      <w:r>
        <w:rPr>
          <w:rFonts w:hint="eastAsia" w:ascii="新宋体" w:hAnsi="新宋体" w:eastAsia="新宋体" w:cs="新宋体"/>
          <w:b/>
          <w:bCs/>
          <w:color w:val="000000" w:themeColor="text1"/>
          <w:sz w:val="24"/>
          <w14:textFill>
            <w14:solidFill>
              <w14:schemeClr w14:val="tx1"/>
            </w14:solidFill>
          </w14:textFill>
        </w:rPr>
        <w:t>二、项目名称：</w:t>
      </w:r>
      <w:r>
        <w:rPr>
          <w:rFonts w:hint="eastAsia" w:ascii="新宋体" w:hAnsi="新宋体" w:eastAsia="新宋体" w:cs="新宋体"/>
          <w:color w:val="000000" w:themeColor="text1"/>
          <w:sz w:val="24"/>
          <w14:textFill>
            <w14:solidFill>
              <w14:schemeClr w14:val="tx1"/>
            </w14:solidFill>
          </w14:textFill>
        </w:rPr>
        <w:t>珠光小学校园电视台</w:t>
      </w:r>
      <w:r>
        <w:rPr>
          <w:rFonts w:hint="eastAsia" w:ascii="新宋体" w:hAnsi="新宋体" w:eastAsia="新宋体" w:cs="新宋体"/>
          <w:color w:val="000000" w:themeColor="text1"/>
          <w:sz w:val="24"/>
          <w:lang w:val="en-US" w:eastAsia="zh-CN"/>
          <w14:textFill>
            <w14:solidFill>
              <w14:schemeClr w14:val="tx1"/>
            </w14:solidFill>
          </w14:textFill>
        </w:rPr>
        <w:t>建设</w:t>
      </w:r>
    </w:p>
    <w:p>
      <w:pPr>
        <w:widowControl/>
        <w:spacing w:line="360" w:lineRule="auto"/>
        <w:ind w:left="366" w:hanging="366" w:hangingChars="152"/>
        <w:outlineLvl w:val="0"/>
        <w:rPr>
          <w:rFonts w:ascii="新宋体" w:hAnsi="新宋体" w:eastAsia="新宋体" w:cs="新宋体"/>
          <w:b/>
          <w:bCs/>
          <w:color w:val="000000" w:themeColor="text1"/>
          <w:sz w:val="24"/>
          <w14:textFill>
            <w14:solidFill>
              <w14:schemeClr w14:val="tx1"/>
            </w14:solidFill>
          </w14:textFill>
        </w:rPr>
      </w:pPr>
      <w:r>
        <w:rPr>
          <w:rFonts w:hint="eastAsia" w:ascii="新宋体" w:hAnsi="新宋体" w:eastAsia="新宋体" w:cs="新宋体"/>
          <w:b/>
          <w:bCs/>
          <w:color w:val="000000" w:themeColor="text1"/>
          <w:sz w:val="24"/>
          <w14:textFill>
            <w14:solidFill>
              <w14:schemeClr w14:val="tx1"/>
            </w14:solidFill>
          </w14:textFill>
        </w:rPr>
        <w:t>三、项目简介：</w:t>
      </w:r>
    </w:p>
    <w:p>
      <w:pPr>
        <w:widowControl/>
        <w:spacing w:line="360" w:lineRule="auto"/>
        <w:rPr>
          <w:rFonts w:ascii="新宋体" w:hAnsi="新宋体" w:eastAsia="新宋体" w:cs="新宋体"/>
          <w:sz w:val="24"/>
        </w:rPr>
      </w:pPr>
      <w:r>
        <w:rPr>
          <w:rFonts w:hint="eastAsia" w:ascii="新宋体" w:hAnsi="新宋体" w:eastAsia="新宋体" w:cs="新宋体"/>
          <w:sz w:val="24"/>
        </w:rPr>
        <w:t>1、项目地点：深圳市南山区明珠三路光前东区9</w:t>
      </w:r>
      <w:r>
        <w:rPr>
          <w:rFonts w:ascii="新宋体" w:hAnsi="新宋体" w:eastAsia="新宋体" w:cs="新宋体"/>
          <w:sz w:val="24"/>
        </w:rPr>
        <w:t>9</w:t>
      </w:r>
      <w:r>
        <w:rPr>
          <w:rFonts w:hint="eastAsia" w:ascii="新宋体" w:hAnsi="新宋体" w:eastAsia="新宋体" w:cs="新宋体"/>
          <w:sz w:val="24"/>
        </w:rPr>
        <w:t>号</w:t>
      </w:r>
    </w:p>
    <w:p>
      <w:pPr>
        <w:widowControl/>
        <w:spacing w:line="360" w:lineRule="auto"/>
        <w:rPr>
          <w:rFonts w:ascii="新宋体" w:hAnsi="新宋体" w:eastAsia="新宋体" w:cs="新宋体"/>
          <w:sz w:val="24"/>
        </w:rPr>
      </w:pPr>
      <w:r>
        <w:rPr>
          <w:rFonts w:hint="eastAsia" w:ascii="新宋体" w:hAnsi="新宋体" w:eastAsia="新宋体" w:cs="新宋体"/>
          <w:sz w:val="24"/>
        </w:rPr>
        <w:t>2、项目采购控制金额：</w:t>
      </w:r>
      <w:r>
        <w:rPr>
          <w:rFonts w:ascii="新宋体" w:hAnsi="新宋体" w:eastAsia="新宋体" w:cs="新宋体"/>
          <w:sz w:val="24"/>
        </w:rPr>
        <w:t xml:space="preserve"> </w:t>
      </w:r>
      <w:r>
        <w:rPr>
          <w:rFonts w:hint="eastAsia" w:ascii="新宋体" w:hAnsi="新宋体" w:eastAsia="新宋体" w:cs="新宋体"/>
          <w:sz w:val="24"/>
          <w:u w:val="single"/>
        </w:rPr>
        <w:t>15</w:t>
      </w:r>
      <w:r>
        <w:rPr>
          <w:rFonts w:hint="eastAsia" w:ascii="新宋体" w:hAnsi="新宋体" w:eastAsia="新宋体" w:cs="新宋体"/>
          <w:sz w:val="24"/>
        </w:rPr>
        <w:t>万元</w:t>
      </w:r>
    </w:p>
    <w:p>
      <w:pPr>
        <w:widowControl/>
        <w:spacing w:line="360" w:lineRule="auto"/>
        <w:rPr>
          <w:rFonts w:ascii="新宋体" w:hAnsi="新宋体" w:eastAsia="新宋体" w:cs="新宋体"/>
          <w:sz w:val="24"/>
        </w:rPr>
      </w:pPr>
      <w:r>
        <w:rPr>
          <w:rFonts w:hint="eastAsia" w:ascii="新宋体" w:hAnsi="新宋体" w:eastAsia="新宋体" w:cs="新宋体"/>
          <w:sz w:val="24"/>
        </w:rPr>
        <w:t>3、项目工期</w:t>
      </w:r>
      <w:r>
        <w:rPr>
          <w:rFonts w:ascii="新宋体" w:hAnsi="新宋体" w:eastAsia="新宋体" w:cs="新宋体"/>
          <w:sz w:val="24"/>
        </w:rPr>
        <w:t>/</w:t>
      </w:r>
      <w:r>
        <w:rPr>
          <w:rFonts w:hint="eastAsia" w:ascii="新宋体" w:hAnsi="新宋体" w:eastAsia="新宋体" w:cs="新宋体"/>
          <w:sz w:val="24"/>
        </w:rPr>
        <w:t>供货期：</w:t>
      </w:r>
      <w:r>
        <w:rPr>
          <w:rFonts w:hint="eastAsia" w:ascii="新宋体" w:hAnsi="新宋体" w:eastAsia="新宋体" w:cs="新宋体"/>
          <w:sz w:val="24"/>
          <w:u w:val="single"/>
        </w:rPr>
        <w:t>签定合同后</w:t>
      </w:r>
      <w:r>
        <w:rPr>
          <w:rFonts w:ascii="新宋体" w:hAnsi="新宋体" w:eastAsia="新宋体" w:cs="新宋体"/>
          <w:sz w:val="24"/>
          <w:u w:val="single"/>
        </w:rPr>
        <w:t>20</w:t>
      </w:r>
      <w:r>
        <w:rPr>
          <w:rFonts w:hint="eastAsia" w:ascii="新宋体" w:hAnsi="新宋体" w:eastAsia="新宋体" w:cs="新宋体"/>
          <w:sz w:val="24"/>
          <w:u w:val="single"/>
        </w:rPr>
        <w:t>个日历日完工。</w:t>
      </w:r>
    </w:p>
    <w:p>
      <w:pPr>
        <w:widowControl/>
        <w:spacing w:line="360" w:lineRule="auto"/>
        <w:rPr>
          <w:rFonts w:ascii="新宋体" w:hAnsi="新宋体" w:eastAsia="新宋体" w:cs="新宋体"/>
          <w:sz w:val="24"/>
          <w:u w:val="single"/>
        </w:rPr>
      </w:pPr>
      <w:r>
        <w:rPr>
          <w:rFonts w:hint="eastAsia" w:ascii="新宋体" w:hAnsi="新宋体" w:eastAsia="新宋体" w:cs="新宋体"/>
          <w:sz w:val="24"/>
        </w:rPr>
        <w:t>4、项目保修期：</w:t>
      </w:r>
      <w:r>
        <w:rPr>
          <w:rFonts w:ascii="新宋体" w:hAnsi="新宋体" w:eastAsia="新宋体" w:cs="新宋体"/>
          <w:sz w:val="24"/>
          <w:u w:val="single"/>
        </w:rPr>
        <w:t>1</w:t>
      </w:r>
      <w:r>
        <w:rPr>
          <w:rFonts w:hint="eastAsia" w:ascii="新宋体" w:hAnsi="新宋体" w:eastAsia="新宋体" w:cs="新宋体"/>
          <w:sz w:val="24"/>
          <w:u w:val="single"/>
        </w:rPr>
        <w:t>年</w:t>
      </w:r>
    </w:p>
    <w:p>
      <w:pPr>
        <w:widowControl/>
        <w:spacing w:line="360" w:lineRule="auto"/>
        <w:rPr>
          <w:rFonts w:ascii="新宋体" w:hAnsi="新宋体" w:eastAsia="新宋体" w:cs="新宋体"/>
          <w:sz w:val="24"/>
        </w:rPr>
      </w:pPr>
      <w:r>
        <w:rPr>
          <w:rFonts w:hint="eastAsia" w:ascii="新宋体" w:hAnsi="新宋体" w:eastAsia="新宋体" w:cs="新宋体"/>
          <w:sz w:val="24"/>
        </w:rPr>
        <w:t>5、承包方式：包工包料</w:t>
      </w:r>
    </w:p>
    <w:p>
      <w:pPr>
        <w:widowControl/>
        <w:spacing w:line="360" w:lineRule="auto"/>
        <w:outlineLvl w:val="0"/>
        <w:rPr>
          <w:rFonts w:ascii="宋体" w:hAnsi="宋体" w:cs="宋体"/>
          <w:kern w:val="0"/>
          <w:sz w:val="24"/>
        </w:rPr>
      </w:pPr>
      <w:r>
        <w:rPr>
          <w:rFonts w:hint="eastAsia" w:ascii="宋体" w:hAnsi="宋体"/>
          <w:b/>
          <w:bCs/>
          <w:sz w:val="24"/>
        </w:rPr>
        <w:t>四、</w:t>
      </w:r>
      <w:r>
        <w:rPr>
          <w:rFonts w:hint="eastAsia" w:ascii="新宋体" w:hAnsi="新宋体" w:eastAsia="新宋体" w:cs="新宋体"/>
          <w:b/>
          <w:sz w:val="24"/>
        </w:rPr>
        <w:t>开标、评标、定标事宜</w:t>
      </w:r>
      <w:r>
        <w:rPr>
          <w:rFonts w:hint="eastAsia" w:ascii="宋体" w:hAnsi="宋体" w:cs="宋体"/>
          <w:b/>
          <w:kern w:val="0"/>
          <w:sz w:val="24"/>
        </w:rPr>
        <w:t>：</w:t>
      </w:r>
    </w:p>
    <w:p>
      <w:pPr>
        <w:widowControl/>
        <w:spacing w:line="360" w:lineRule="auto"/>
        <w:jc w:val="left"/>
        <w:rPr>
          <w:rFonts w:ascii="宋体" w:hAnsi="宋体" w:cs="宋体"/>
          <w:kern w:val="0"/>
          <w:sz w:val="24"/>
        </w:rPr>
      </w:pPr>
      <w:r>
        <w:rPr>
          <w:rFonts w:hint="eastAsia" w:ascii="宋体" w:hAnsi="宋体" w:cs="宋体"/>
          <w:kern w:val="0"/>
          <w:sz w:val="24"/>
        </w:rPr>
        <w:t>1.项目公示时间、投标文件接收时间和地点：</w:t>
      </w:r>
    </w:p>
    <w:p>
      <w:pPr>
        <w:widowControl/>
        <w:spacing w:line="360" w:lineRule="auto"/>
        <w:jc w:val="left"/>
        <w:rPr>
          <w:rFonts w:ascii="宋体" w:hAnsi="宋体" w:cs="宋体"/>
          <w:kern w:val="0"/>
          <w:sz w:val="24"/>
        </w:rPr>
      </w:pPr>
      <w:r>
        <w:rPr>
          <w:rFonts w:hint="eastAsia" w:ascii="宋体" w:hAnsi="宋体" w:cs="宋体"/>
          <w:kern w:val="0"/>
          <w:sz w:val="24"/>
        </w:rPr>
        <w:t>（1）项目公示时间：2020年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19</w:t>
      </w:r>
      <w:r>
        <w:rPr>
          <w:rFonts w:hint="eastAsia" w:ascii="宋体" w:hAnsi="宋体" w:cs="宋体"/>
          <w:kern w:val="0"/>
          <w:sz w:val="24"/>
        </w:rPr>
        <w:t>日-2020年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28</w:t>
      </w:r>
      <w:r>
        <w:rPr>
          <w:rFonts w:hint="eastAsia" w:ascii="宋体" w:hAnsi="宋体" w:cs="宋体"/>
          <w:kern w:val="0"/>
          <w:sz w:val="24"/>
        </w:rPr>
        <w:t>日</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（2）现场勘察时间：2020年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22</w:t>
      </w:r>
      <w:r>
        <w:rPr>
          <w:rFonts w:hint="eastAsia" w:ascii="宋体" w:hAnsi="宋体" w:cs="宋体"/>
          <w:kern w:val="0"/>
          <w:sz w:val="24"/>
        </w:rPr>
        <w:t>日</w:t>
      </w:r>
      <w:r>
        <w:rPr>
          <w:rFonts w:hint="eastAsia" w:ascii="宋体" w:hAnsi="宋体" w:cs="宋体"/>
          <w:kern w:val="0"/>
          <w:sz w:val="24"/>
          <w:lang w:val="en-US" w:eastAsia="zh-CN"/>
        </w:rPr>
        <w:t>15</w:t>
      </w:r>
      <w:r>
        <w:rPr>
          <w:rFonts w:hint="eastAsia" w:ascii="宋体" w:hAnsi="宋体" w:cs="宋体"/>
          <w:kern w:val="0"/>
          <w:sz w:val="24"/>
        </w:rPr>
        <w:t>时</w:t>
      </w:r>
      <w:r>
        <w:rPr>
          <w:rFonts w:hint="eastAsia" w:ascii="宋体" w:hAnsi="宋体"/>
          <w:sz w:val="24"/>
        </w:rPr>
        <w:t>至</w:t>
      </w:r>
      <w:r>
        <w:rPr>
          <w:rFonts w:hint="eastAsia" w:ascii="宋体" w:hAnsi="宋体"/>
          <w:sz w:val="24"/>
          <w:lang w:val="en-US" w:eastAsia="zh-CN"/>
        </w:rPr>
        <w:t>16</w:t>
      </w:r>
      <w:r>
        <w:rPr>
          <w:rFonts w:hint="eastAsia" w:ascii="宋体" w:hAnsi="宋体"/>
          <w:sz w:val="24"/>
        </w:rPr>
        <w:t>时</w:t>
      </w:r>
    </w:p>
    <w:p>
      <w:pPr>
        <w:widowControl/>
        <w:spacing w:line="360" w:lineRule="auto"/>
        <w:ind w:firstLine="840"/>
        <w:jc w:val="left"/>
        <w:rPr>
          <w:rFonts w:ascii="宋体" w:hAnsi="宋体" w:cs="宋体"/>
          <w:kern w:val="0"/>
          <w:sz w:val="24"/>
        </w:rPr>
      </w:pPr>
      <w:r>
        <w:rPr>
          <w:rFonts w:hint="eastAsia" w:ascii="宋体" w:hAnsi="宋体" w:cs="宋体"/>
          <w:kern w:val="0"/>
          <w:sz w:val="24"/>
        </w:rPr>
        <w:t>联系人：</w:t>
      </w:r>
      <w:r>
        <w:rPr>
          <w:rFonts w:hint="eastAsia" w:ascii="宋体" w:hAnsi="宋体" w:cs="宋体"/>
          <w:kern w:val="0"/>
          <w:sz w:val="24"/>
          <w:u w:val="single"/>
          <w:lang w:val="en-US" w:eastAsia="zh-CN"/>
        </w:rPr>
        <w:t>李老师</w:t>
      </w:r>
      <w:r>
        <w:rPr>
          <w:rFonts w:ascii="宋体" w:hAnsi="宋体" w:cs="宋体"/>
          <w:kern w:val="0"/>
          <w:sz w:val="24"/>
          <w:u w:val="single"/>
        </w:rPr>
        <w:t xml:space="preserve"> </w:t>
      </w:r>
      <w:r>
        <w:rPr>
          <w:rFonts w:hint="eastAsia" w:ascii="宋体" w:hAnsi="宋体" w:cs="宋体"/>
          <w:kern w:val="0"/>
          <w:sz w:val="24"/>
        </w:rPr>
        <w:t>，  联系电话：</w:t>
      </w:r>
      <w:r>
        <w:rPr>
          <w:rFonts w:hint="eastAsia" w:ascii="宋体" w:hAnsi="宋体" w:cs="宋体"/>
          <w:kern w:val="0"/>
          <w:sz w:val="24"/>
          <w:u w:val="single"/>
          <w:lang w:val="en-US" w:eastAsia="zh-CN"/>
        </w:rPr>
        <w:t>13480808137</w:t>
      </w:r>
      <w:r>
        <w:rPr>
          <w:rFonts w:hint="eastAsia" w:ascii="宋体" w:hAnsi="宋体" w:cs="宋体"/>
          <w:kern w:val="0"/>
          <w:sz w:val="24"/>
        </w:rPr>
        <w:t xml:space="preserve">，    </w:t>
      </w:r>
    </w:p>
    <w:p>
      <w:pPr>
        <w:widowControl/>
        <w:spacing w:line="360" w:lineRule="auto"/>
        <w:jc w:val="left"/>
        <w:rPr>
          <w:rFonts w:ascii="宋体" w:hAnsi="宋体" w:cs="宋体"/>
          <w:kern w:val="0"/>
          <w:sz w:val="24"/>
        </w:rPr>
      </w:pPr>
      <w:r>
        <w:rPr>
          <w:rFonts w:hint="eastAsia" w:ascii="宋体" w:hAnsi="宋体" w:cs="宋体"/>
          <w:kern w:val="0"/>
          <w:sz w:val="24"/>
        </w:rPr>
        <w:t>（3）接收投标文件时间：2020年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19</w:t>
      </w:r>
      <w:r>
        <w:rPr>
          <w:rFonts w:hint="eastAsia" w:ascii="宋体" w:hAnsi="宋体" w:cs="宋体"/>
          <w:kern w:val="0"/>
          <w:sz w:val="24"/>
        </w:rPr>
        <w:t>日至2020年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28</w:t>
      </w:r>
      <w:r>
        <w:rPr>
          <w:rFonts w:hint="eastAsia" w:ascii="宋体" w:hAnsi="宋体" w:cs="宋体"/>
          <w:kern w:val="0"/>
          <w:sz w:val="24"/>
        </w:rPr>
        <w:t>日</w:t>
      </w:r>
      <w:r>
        <w:rPr>
          <w:rFonts w:hint="eastAsia" w:ascii="宋体" w:hAnsi="宋体" w:cs="宋体"/>
          <w:kern w:val="0"/>
          <w:sz w:val="24"/>
          <w:lang w:val="en-US" w:eastAsia="zh-CN"/>
        </w:rPr>
        <w:t>15</w:t>
      </w:r>
      <w:r>
        <w:rPr>
          <w:rFonts w:hint="eastAsia" w:ascii="宋体" w:hAnsi="宋体" w:cs="宋体"/>
          <w:kern w:val="0"/>
          <w:sz w:val="24"/>
        </w:rPr>
        <w:t>时</w:t>
      </w:r>
    </w:p>
    <w:p>
      <w:pPr>
        <w:widowControl/>
        <w:spacing w:line="360" w:lineRule="auto"/>
        <w:jc w:val="left"/>
        <w:rPr>
          <w:rFonts w:ascii="宋体" w:hAnsi="宋体" w:cs="宋体"/>
          <w:kern w:val="0"/>
          <w:sz w:val="24"/>
        </w:rPr>
      </w:pPr>
      <w:r>
        <w:rPr>
          <w:rFonts w:hint="eastAsia" w:ascii="宋体" w:hAnsi="宋体" w:cs="宋体"/>
          <w:kern w:val="0"/>
          <w:sz w:val="24"/>
        </w:rPr>
        <w:t>（4）接收投标文件地点：</w:t>
      </w:r>
      <w:r>
        <w:rPr>
          <w:rFonts w:hint="eastAsia" w:ascii="宋体" w:hAnsi="宋体" w:cs="宋体"/>
          <w:color w:val="000000" w:themeColor="text1"/>
          <w:kern w:val="0"/>
          <w:sz w:val="24"/>
          <w14:textFill>
            <w14:solidFill>
              <w14:schemeClr w14:val="tx1"/>
            </w14:solidFill>
          </w14:textFill>
        </w:rPr>
        <w:t xml:space="preserve">深圳市南山区珠光小学保安室 </w:t>
      </w:r>
    </w:p>
    <w:p>
      <w:pPr>
        <w:widowControl/>
        <w:spacing w:line="360" w:lineRule="auto"/>
        <w:jc w:val="left"/>
        <w:rPr>
          <w:rFonts w:ascii="宋体" w:hAnsi="宋体" w:cs="宋体"/>
          <w:kern w:val="0"/>
          <w:sz w:val="24"/>
        </w:rPr>
      </w:pPr>
      <w:r>
        <w:rPr>
          <w:rFonts w:hint="eastAsia" w:ascii="宋体" w:hAnsi="宋体" w:cs="宋体"/>
          <w:kern w:val="0"/>
          <w:sz w:val="24"/>
        </w:rPr>
        <w:t>2.投标人参与投标的签到时间、截标时间、开标时间及开标地点：</w:t>
      </w:r>
    </w:p>
    <w:p>
      <w:pPr>
        <w:widowControl/>
        <w:spacing w:line="360" w:lineRule="auto"/>
        <w:jc w:val="left"/>
        <w:rPr>
          <w:rFonts w:ascii="宋体" w:hAnsi="宋体" w:cs="宋体"/>
          <w:kern w:val="0"/>
          <w:sz w:val="24"/>
        </w:rPr>
      </w:pPr>
      <w:r>
        <w:rPr>
          <w:rFonts w:hint="eastAsia" w:ascii="宋体" w:hAnsi="宋体" w:cs="宋体"/>
          <w:kern w:val="0"/>
          <w:sz w:val="24"/>
        </w:rPr>
        <w:t>（1）截标时间：2020年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28</w:t>
      </w:r>
      <w:r>
        <w:rPr>
          <w:rFonts w:hint="eastAsia" w:ascii="宋体" w:hAnsi="宋体" w:cs="宋体"/>
          <w:kern w:val="0"/>
          <w:sz w:val="24"/>
        </w:rPr>
        <w:t>日</w:t>
      </w:r>
      <w:r>
        <w:rPr>
          <w:rFonts w:hint="eastAsia" w:ascii="宋体" w:hAnsi="宋体" w:cs="宋体"/>
          <w:kern w:val="0"/>
          <w:sz w:val="24"/>
          <w:lang w:val="en-US" w:eastAsia="zh-CN"/>
        </w:rPr>
        <w:t>15</w:t>
      </w:r>
      <w:r>
        <w:rPr>
          <w:rFonts w:hint="eastAsia" w:ascii="宋体" w:hAnsi="宋体" w:cs="宋体"/>
          <w:kern w:val="0"/>
          <w:sz w:val="24"/>
        </w:rPr>
        <w:t>时</w:t>
      </w:r>
    </w:p>
    <w:p>
      <w:pPr>
        <w:widowControl/>
        <w:spacing w:line="360" w:lineRule="auto"/>
        <w:jc w:val="left"/>
        <w:rPr>
          <w:rFonts w:ascii="宋体" w:hAnsi="宋体" w:cs="宋体"/>
          <w:kern w:val="0"/>
          <w:sz w:val="24"/>
        </w:rPr>
      </w:pPr>
      <w:r>
        <w:rPr>
          <w:rFonts w:hint="eastAsia" w:ascii="宋体" w:hAnsi="宋体" w:cs="宋体"/>
          <w:kern w:val="0"/>
          <w:sz w:val="24"/>
        </w:rPr>
        <w:t>（2）开标时间：2020年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29</w:t>
      </w:r>
      <w:r>
        <w:rPr>
          <w:rFonts w:hint="eastAsia" w:ascii="宋体" w:hAnsi="宋体" w:cs="宋体"/>
          <w:kern w:val="0"/>
          <w:sz w:val="24"/>
        </w:rPr>
        <w:t>日</w:t>
      </w:r>
      <w:r>
        <w:rPr>
          <w:rFonts w:hint="eastAsia" w:ascii="宋体" w:hAnsi="宋体" w:cs="宋体"/>
          <w:kern w:val="0"/>
          <w:sz w:val="24"/>
          <w:lang w:val="en-US" w:eastAsia="zh-CN"/>
        </w:rPr>
        <w:t>15</w:t>
      </w:r>
      <w:r>
        <w:rPr>
          <w:rFonts w:hint="eastAsia" w:ascii="宋体" w:hAnsi="宋体" w:cs="宋体"/>
          <w:kern w:val="0"/>
          <w:sz w:val="24"/>
        </w:rPr>
        <w:t>时</w:t>
      </w:r>
    </w:p>
    <w:p>
      <w:pPr>
        <w:widowControl/>
        <w:spacing w:line="360" w:lineRule="auto"/>
        <w:jc w:val="left"/>
        <w:rPr>
          <w:rFonts w:ascii="宋体" w:hAnsi="宋体" w:cs="宋体"/>
          <w:kern w:val="0"/>
          <w:sz w:val="24"/>
        </w:rPr>
      </w:pPr>
      <w:r>
        <w:rPr>
          <w:rFonts w:hint="eastAsia" w:ascii="宋体" w:hAnsi="宋体" w:cs="宋体"/>
          <w:kern w:val="0"/>
          <w:sz w:val="24"/>
        </w:rPr>
        <w:t>（3）开标地点：</w:t>
      </w:r>
      <w:r>
        <w:rPr>
          <w:rFonts w:hint="eastAsia" w:ascii="宋体" w:hAnsi="宋体" w:cs="宋体"/>
          <w:kern w:val="0"/>
          <w:sz w:val="24"/>
          <w:lang w:val="en-US" w:eastAsia="zh-CN"/>
        </w:rPr>
        <w:t>珠光小学二楼会议室</w:t>
      </w:r>
      <w:r>
        <w:rPr>
          <w:rFonts w:hint="eastAsia" w:ascii="宋体" w:hAnsi="宋体" w:cs="宋体"/>
          <w:kern w:val="0"/>
          <w:sz w:val="24"/>
        </w:rPr>
        <w:t xml:space="preserve"> </w:t>
      </w:r>
    </w:p>
    <w:p>
      <w:pPr>
        <w:widowControl/>
        <w:shd w:val="clear" w:color="auto" w:fill="FFFFFF"/>
        <w:spacing w:line="360" w:lineRule="auto"/>
        <w:jc w:val="left"/>
        <w:rPr>
          <w:rFonts w:ascii="新宋体" w:hAnsi="新宋体" w:eastAsia="新宋体" w:cs="新宋体"/>
          <w:kern w:val="0"/>
          <w:sz w:val="24"/>
        </w:rPr>
      </w:pPr>
      <w:r>
        <w:rPr>
          <w:rFonts w:hint="eastAsia" w:ascii="宋体" w:hAnsi="宋体" w:cs="宋体"/>
          <w:kern w:val="0"/>
          <w:sz w:val="24"/>
        </w:rPr>
        <w:t>（4）</w:t>
      </w:r>
      <w:r>
        <w:rPr>
          <w:rFonts w:hint="eastAsia" w:ascii="新宋体" w:hAnsi="新宋体" w:eastAsia="新宋体" w:cs="新宋体"/>
          <w:kern w:val="0"/>
          <w:sz w:val="24"/>
        </w:rPr>
        <w:t>投标单位代表需在规定的开标时间前到达指定地点，否则失去评标中标资格。</w:t>
      </w:r>
    </w:p>
    <w:p>
      <w:pPr>
        <w:spacing w:line="360" w:lineRule="auto"/>
        <w:rPr>
          <w:rFonts w:ascii="新宋体" w:hAnsi="新宋体" w:eastAsia="新宋体" w:cs="新宋体"/>
          <w:kern w:val="0"/>
          <w:sz w:val="24"/>
        </w:rPr>
      </w:pPr>
      <w:r>
        <w:rPr>
          <w:rFonts w:hint="eastAsia" w:ascii="新宋体" w:hAnsi="新宋体" w:eastAsia="新宋体" w:cs="新宋体"/>
          <w:kern w:val="0"/>
          <w:sz w:val="24"/>
        </w:rPr>
        <w:t>3.评/定标方法：</w:t>
      </w:r>
      <w:r>
        <w:rPr>
          <w:rFonts w:hint="eastAsia" w:ascii="新宋体" w:hAnsi="新宋体" w:eastAsia="新宋体" w:cs="新宋体"/>
          <w:sz w:val="24"/>
        </w:rPr>
        <w:t>综合评分法+抽签法，综合评分前三的供应商入围抽签环节，抽签确定预中标单位</w:t>
      </w:r>
      <w:r>
        <w:rPr>
          <w:rFonts w:hint="eastAsia" w:ascii="新宋体" w:hAnsi="新宋体" w:eastAsia="新宋体" w:cs="新宋体"/>
          <w:sz w:val="24"/>
          <w:lang w:eastAsia="zh-CN"/>
        </w:rPr>
        <w:t>，</w:t>
      </w:r>
      <w:r>
        <w:rPr>
          <w:rFonts w:hint="eastAsia" w:ascii="新宋体" w:hAnsi="新宋体" w:eastAsia="新宋体" w:cs="新宋体"/>
          <w:sz w:val="24"/>
        </w:rPr>
        <w:t>大号中标。中标价格为入选抽签三家供应商报价的平均价。</w:t>
      </w:r>
    </w:p>
    <w:p>
      <w:pPr>
        <w:spacing w:line="360" w:lineRule="auto"/>
        <w:rPr>
          <w:rFonts w:ascii="新宋体" w:hAnsi="新宋体" w:eastAsia="新宋体" w:cs="新宋体"/>
          <w:sz w:val="24"/>
        </w:rPr>
      </w:pPr>
      <w:r>
        <w:rPr>
          <w:rFonts w:hint="eastAsia" w:ascii="新宋体" w:hAnsi="新宋体" w:eastAsia="新宋体" w:cs="新宋体"/>
          <w:sz w:val="24"/>
        </w:rPr>
        <w:t>4.中标结果公示：在教育局信息平台和学校网站同时发布中标公告，时间不少于3天。</w:t>
      </w:r>
    </w:p>
    <w:p>
      <w:pPr>
        <w:spacing w:line="360" w:lineRule="auto"/>
        <w:rPr>
          <w:rFonts w:ascii="新宋体" w:hAnsi="新宋体" w:eastAsia="新宋体" w:cs="新宋体"/>
          <w:sz w:val="24"/>
        </w:rPr>
      </w:pPr>
      <w:r>
        <w:rPr>
          <w:rFonts w:hint="eastAsia" w:ascii="新宋体" w:hAnsi="新宋体" w:eastAsia="新宋体" w:cs="新宋体"/>
          <w:sz w:val="24"/>
        </w:rPr>
        <w:t>5.签订合同：双方应当自中标通知书发出之日起三个工作日内签订合同。合同应采用固定单价合同，并附中标价和预算清单，合同的实质性内容应与招标文件相符。</w:t>
      </w:r>
    </w:p>
    <w:p>
      <w:pPr>
        <w:widowControl/>
        <w:shd w:val="clear" w:color="auto" w:fill="FFFFFF"/>
        <w:spacing w:line="360" w:lineRule="auto"/>
        <w:jc w:val="left"/>
        <w:rPr>
          <w:rFonts w:ascii="新宋体" w:hAnsi="新宋体" w:eastAsia="新宋体" w:cs="新宋体"/>
          <w:kern w:val="0"/>
          <w:sz w:val="24"/>
          <w:u w:val="single"/>
        </w:rPr>
      </w:pPr>
      <w:r>
        <w:rPr>
          <w:rFonts w:hint="eastAsia" w:ascii="新宋体" w:hAnsi="新宋体" w:eastAsia="新宋体" w:cs="新宋体"/>
          <w:kern w:val="0"/>
          <w:sz w:val="24"/>
        </w:rPr>
        <w:t>6.回复质疑的联系人及电话：</w:t>
      </w:r>
      <w:r>
        <w:rPr>
          <w:rFonts w:hint="eastAsia" w:ascii="新宋体" w:hAnsi="新宋体" w:eastAsia="新宋体" w:cs="新宋体"/>
          <w:kern w:val="0"/>
          <w:sz w:val="24"/>
          <w:lang w:val="en-US" w:eastAsia="zh-CN"/>
        </w:rPr>
        <w:t>李老师 13480808137</w:t>
      </w:r>
    </w:p>
    <w:p>
      <w:pPr>
        <w:widowControl/>
        <w:shd w:val="clear" w:color="auto" w:fill="FFFFFF"/>
        <w:spacing w:line="360" w:lineRule="auto"/>
        <w:jc w:val="left"/>
        <w:rPr>
          <w:rFonts w:ascii="新宋体" w:hAnsi="新宋体" w:eastAsia="新宋体" w:cs="新宋体"/>
          <w:kern w:val="0"/>
          <w:sz w:val="24"/>
          <w:u w:val="single"/>
        </w:rPr>
      </w:pPr>
      <w:r>
        <w:rPr>
          <w:rFonts w:hint="eastAsia" w:ascii="新宋体" w:hAnsi="新宋体" w:eastAsia="新宋体" w:cs="新宋体"/>
          <w:kern w:val="0"/>
          <w:sz w:val="24"/>
        </w:rPr>
        <w:t>7.监督及投诉电话：</w:t>
      </w:r>
      <w:r>
        <w:rPr>
          <w:rFonts w:hint="eastAsia" w:ascii="新宋体" w:hAnsi="新宋体" w:eastAsia="新宋体" w:cs="新宋体"/>
          <w:kern w:val="0"/>
          <w:sz w:val="24"/>
          <w:u w:val="single"/>
        </w:rPr>
        <w:t xml:space="preserve"> </w:t>
      </w:r>
      <w:r>
        <w:rPr>
          <w:rFonts w:ascii="新宋体" w:hAnsi="新宋体" w:eastAsia="新宋体" w:cs="新宋体"/>
          <w:kern w:val="0"/>
          <w:sz w:val="24"/>
          <w:u w:val="single"/>
        </w:rPr>
        <w:t>0755-</w:t>
      </w:r>
      <w:r>
        <w:rPr>
          <w:rFonts w:hint="eastAsia" w:ascii="新宋体" w:hAnsi="新宋体" w:eastAsia="新宋体" w:cs="新宋体"/>
          <w:kern w:val="0"/>
          <w:sz w:val="24"/>
          <w:u w:val="single"/>
          <w:lang w:val="en-US" w:eastAsia="zh-CN"/>
        </w:rPr>
        <w:t>86110215</w:t>
      </w:r>
      <w:r>
        <w:rPr>
          <w:rFonts w:ascii="新宋体" w:hAnsi="新宋体" w:eastAsia="新宋体" w:cs="新宋体"/>
          <w:kern w:val="0"/>
          <w:sz w:val="24"/>
          <w:u w:val="single"/>
        </w:rPr>
        <w:t xml:space="preserve"> </w:t>
      </w:r>
      <w:r>
        <w:rPr>
          <w:rFonts w:hint="eastAsia" w:ascii="新宋体" w:hAnsi="新宋体" w:eastAsia="新宋体" w:cs="新宋体"/>
          <w:kern w:val="0"/>
          <w:sz w:val="24"/>
          <w:u w:val="single"/>
        </w:rPr>
        <w:t xml:space="preserve">      </w:t>
      </w: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五、投标人资格要求：</w:t>
      </w:r>
    </w:p>
    <w:p>
      <w:pPr>
        <w:widowControl/>
        <w:spacing w:line="360" w:lineRule="auto"/>
        <w:jc w:val="left"/>
        <w:rPr>
          <w:rFonts w:ascii="宋体" w:hAnsi="宋体" w:cs="宋体"/>
          <w:kern w:val="0"/>
          <w:sz w:val="24"/>
        </w:rPr>
      </w:pPr>
      <w:r>
        <w:rPr>
          <w:rFonts w:hint="eastAsia" w:ascii="宋体" w:hAnsi="宋体" w:cs="宋体"/>
          <w:kern w:val="0"/>
          <w:sz w:val="24"/>
        </w:rPr>
        <w:t>1、投标人必须是在中华人民共和国国内注册的独立法人，具有相关经营范围（提供相关证明复印件）；</w:t>
      </w:r>
    </w:p>
    <w:p>
      <w:pPr>
        <w:widowControl/>
        <w:spacing w:line="360" w:lineRule="auto"/>
        <w:jc w:val="left"/>
        <w:rPr>
          <w:rFonts w:ascii="宋体" w:hAnsi="宋体" w:cs="宋体"/>
          <w:kern w:val="0"/>
          <w:sz w:val="24"/>
        </w:rPr>
      </w:pPr>
      <w:r>
        <w:rPr>
          <w:rFonts w:hint="eastAsia" w:ascii="宋体" w:hAnsi="宋体" w:cs="宋体"/>
          <w:kern w:val="0"/>
          <w:sz w:val="24"/>
        </w:rPr>
        <w:t>2、投标人必须是已注册的深圳市网上政府采购供应商；（提供相关证明复印件）；</w:t>
      </w:r>
    </w:p>
    <w:p>
      <w:pPr>
        <w:widowControl/>
        <w:spacing w:line="360" w:lineRule="auto"/>
        <w:jc w:val="left"/>
        <w:rPr>
          <w:rFonts w:ascii="宋体" w:hAnsi="宋体" w:cs="宋体"/>
          <w:kern w:val="0"/>
          <w:sz w:val="24"/>
        </w:rPr>
      </w:pPr>
      <w:r>
        <w:rPr>
          <w:rFonts w:hint="eastAsia" w:ascii="宋体" w:hAnsi="宋体" w:cs="宋体"/>
          <w:kern w:val="0"/>
          <w:sz w:val="24"/>
        </w:rPr>
        <w:t>3、本项目要求投标人所投的校园直播管理系统与学校现有的教学系统（小黑板教学管理系统、校本资源系统、教研管理系统）完全兼容。（提供厂家兼容性证明文件并加盖制造商公章）</w:t>
      </w:r>
    </w:p>
    <w:p>
      <w:pPr>
        <w:widowControl/>
        <w:spacing w:line="360" w:lineRule="auto"/>
        <w:jc w:val="left"/>
        <w:rPr>
          <w:rFonts w:ascii="宋体" w:hAnsi="宋体" w:cs="宋体"/>
          <w:kern w:val="0"/>
          <w:sz w:val="24"/>
        </w:rPr>
      </w:pPr>
      <w:r>
        <w:rPr>
          <w:rFonts w:hint="eastAsia" w:ascii="宋体" w:hAnsi="宋体" w:cs="宋体"/>
          <w:kern w:val="0"/>
          <w:sz w:val="24"/>
        </w:rPr>
        <w:t>4、本项目不接受联合体投标、不允许分包，不接受进口产品投标。</w:t>
      </w: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六、投标文件组成：</w:t>
      </w:r>
    </w:p>
    <w:p>
      <w:pPr>
        <w:widowControl/>
        <w:spacing w:line="360" w:lineRule="auto"/>
        <w:rPr>
          <w:rFonts w:ascii="新宋体" w:hAnsi="新宋体" w:eastAsia="新宋体" w:cs="新宋体"/>
          <w:sz w:val="24"/>
        </w:rPr>
      </w:pPr>
      <w:bookmarkStart w:id="1" w:name="_Hlk9505956"/>
      <w:r>
        <w:rPr>
          <w:rFonts w:hint="eastAsia" w:ascii="新宋体" w:hAnsi="新宋体" w:eastAsia="新宋体" w:cs="新宋体"/>
          <w:sz w:val="24"/>
        </w:rPr>
        <w:t>（</w:t>
      </w:r>
      <w:r>
        <w:rPr>
          <w:rFonts w:ascii="新宋体" w:hAnsi="新宋体" w:eastAsia="新宋体" w:cs="新宋体"/>
          <w:sz w:val="24"/>
        </w:rPr>
        <w:t>1</w:t>
      </w:r>
      <w:r>
        <w:rPr>
          <w:rFonts w:hint="eastAsia" w:ascii="新宋体" w:hAnsi="新宋体" w:eastAsia="新宋体" w:cs="新宋体"/>
          <w:sz w:val="24"/>
        </w:rPr>
        <w:t>）投标函；</w:t>
      </w:r>
    </w:p>
    <w:p>
      <w:pPr>
        <w:widowControl/>
        <w:spacing w:line="360" w:lineRule="auto"/>
        <w:rPr>
          <w:rFonts w:ascii="新宋体" w:hAnsi="新宋体" w:eastAsia="新宋体" w:cs="新宋体"/>
          <w:kern w:val="0"/>
          <w:sz w:val="24"/>
        </w:rPr>
      </w:pPr>
      <w:r>
        <w:rPr>
          <w:rFonts w:hint="eastAsia" w:ascii="新宋体" w:hAnsi="新宋体" w:eastAsia="新宋体" w:cs="新宋体"/>
          <w:sz w:val="24"/>
        </w:rPr>
        <w:t>（</w:t>
      </w:r>
      <w:r>
        <w:rPr>
          <w:rFonts w:ascii="新宋体" w:hAnsi="新宋体" w:eastAsia="新宋体" w:cs="新宋体"/>
          <w:sz w:val="24"/>
        </w:rPr>
        <w:t>2</w:t>
      </w:r>
      <w:r>
        <w:rPr>
          <w:rFonts w:hint="eastAsia" w:ascii="新宋体" w:hAnsi="新宋体" w:eastAsia="新宋体" w:cs="新宋体"/>
          <w:sz w:val="24"/>
        </w:rPr>
        <w:t>）</w:t>
      </w:r>
      <w:r>
        <w:rPr>
          <w:rFonts w:hint="eastAsia" w:ascii="新宋体" w:hAnsi="新宋体" w:eastAsia="新宋体" w:cs="新宋体"/>
          <w:kern w:val="0"/>
          <w:sz w:val="24"/>
        </w:rPr>
        <w:t>营业执照；</w:t>
      </w:r>
    </w:p>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w:t>
      </w:r>
      <w:r>
        <w:rPr>
          <w:rFonts w:ascii="新宋体" w:hAnsi="新宋体" w:eastAsia="新宋体" w:cs="新宋体"/>
          <w:kern w:val="0"/>
          <w:sz w:val="24"/>
        </w:rPr>
        <w:t>3）</w:t>
      </w:r>
      <w:r>
        <w:rPr>
          <w:rFonts w:hint="eastAsia" w:ascii="新宋体" w:hAnsi="新宋体" w:eastAsia="新宋体" w:cs="新宋体"/>
          <w:kern w:val="0"/>
          <w:sz w:val="24"/>
        </w:rPr>
        <w:t>厂家兼性容性证明文件；</w:t>
      </w:r>
    </w:p>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w:t>
      </w:r>
      <w:r>
        <w:rPr>
          <w:rFonts w:ascii="新宋体" w:hAnsi="新宋体" w:eastAsia="新宋体" w:cs="新宋体"/>
          <w:kern w:val="0"/>
          <w:sz w:val="24"/>
        </w:rPr>
        <w:t>4）</w:t>
      </w:r>
      <w:r>
        <w:rPr>
          <w:rFonts w:hint="eastAsia" w:ascii="新宋体" w:hAnsi="新宋体" w:eastAsia="新宋体" w:cs="新宋体"/>
          <w:kern w:val="0"/>
          <w:sz w:val="24"/>
        </w:rPr>
        <w:t>报价明细单；</w:t>
      </w:r>
    </w:p>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（5）法人证明书及法人授权委托书（</w:t>
      </w:r>
      <w:r>
        <w:rPr>
          <w:rFonts w:hint="eastAsia"/>
          <w:sz w:val="24"/>
        </w:rPr>
        <w:t>法定代表人为投标人的只须提供法定代表人证明书）</w:t>
      </w:r>
      <w:r>
        <w:rPr>
          <w:rFonts w:hint="eastAsia" w:ascii="新宋体" w:hAnsi="新宋体" w:eastAsia="新宋体" w:cs="新宋体"/>
          <w:kern w:val="0"/>
          <w:sz w:val="24"/>
        </w:rPr>
        <w:t>；</w:t>
      </w:r>
    </w:p>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（6</w:t>
      </w:r>
      <w:r>
        <w:rPr>
          <w:rFonts w:ascii="新宋体" w:hAnsi="新宋体" w:eastAsia="新宋体" w:cs="新宋体"/>
          <w:kern w:val="0"/>
          <w:sz w:val="24"/>
        </w:rPr>
        <w:t>）</w:t>
      </w:r>
      <w:r>
        <w:rPr>
          <w:rFonts w:hint="eastAsia" w:ascii="新宋体" w:hAnsi="新宋体" w:eastAsia="新宋体" w:cs="新宋体"/>
          <w:kern w:val="0"/>
          <w:sz w:val="24"/>
        </w:rPr>
        <w:t>投标人身份证复印件</w:t>
      </w:r>
    </w:p>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（7）技术规格偏离表；</w:t>
      </w:r>
    </w:p>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w:t>
      </w:r>
      <w:r>
        <w:rPr>
          <w:rFonts w:ascii="新宋体" w:hAnsi="新宋体" w:eastAsia="新宋体" w:cs="新宋体"/>
          <w:kern w:val="0"/>
          <w:sz w:val="24"/>
        </w:rPr>
        <w:t>8</w:t>
      </w:r>
      <w:r>
        <w:rPr>
          <w:rFonts w:hint="eastAsia" w:ascii="新宋体" w:hAnsi="新宋体" w:eastAsia="新宋体" w:cs="新宋体"/>
          <w:kern w:val="0"/>
          <w:sz w:val="24"/>
        </w:rPr>
        <w:t>)售后服务介绍；</w:t>
      </w:r>
    </w:p>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w:t>
      </w:r>
      <w:r>
        <w:rPr>
          <w:rFonts w:ascii="新宋体" w:hAnsi="新宋体" w:eastAsia="新宋体" w:cs="新宋体"/>
          <w:kern w:val="0"/>
          <w:sz w:val="24"/>
        </w:rPr>
        <w:t>9</w:t>
      </w:r>
      <w:r>
        <w:rPr>
          <w:rFonts w:hint="eastAsia" w:ascii="新宋体" w:hAnsi="新宋体" w:eastAsia="新宋体" w:cs="新宋体"/>
          <w:kern w:val="0"/>
          <w:sz w:val="24"/>
        </w:rPr>
        <w:t>）其它资料。</w:t>
      </w:r>
    </w:p>
    <w:bookmarkEnd w:id="1"/>
    <w:p>
      <w:pPr>
        <w:widowControl/>
        <w:spacing w:line="360" w:lineRule="auto"/>
        <w:rPr>
          <w:rFonts w:ascii="新宋体" w:hAnsi="新宋体" w:eastAsia="新宋体" w:cs="新宋体"/>
          <w:kern w:val="0"/>
          <w:sz w:val="24"/>
        </w:rPr>
      </w:pPr>
      <w:r>
        <w:rPr>
          <w:rFonts w:hint="eastAsia" w:ascii="新宋体" w:hAnsi="新宋体" w:eastAsia="新宋体" w:cs="新宋体"/>
          <w:kern w:val="0"/>
          <w:sz w:val="24"/>
        </w:rPr>
        <w:t>注：</w:t>
      </w:r>
      <w:r>
        <w:rPr>
          <w:rFonts w:hint="eastAsia"/>
          <w:sz w:val="24"/>
        </w:rPr>
        <w:t>以上投标文件为复印件的均需加盖公章。投标文件要求正本1份、副本1份。每套纸质投标文件必须清楚地标明“正本”或“副本”，放入文件袋密封并盖章。招标方不接受投标方以电报、电话、传真或网络等形式进行的投标。</w:t>
      </w: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七、其他要求：</w:t>
      </w:r>
    </w:p>
    <w:p>
      <w:pPr>
        <w:widowControl/>
        <w:spacing w:line="360" w:lineRule="auto"/>
        <w:jc w:val="left"/>
        <w:rPr>
          <w:rFonts w:ascii="宋体" w:hAnsi="宋体" w:cs="宋体"/>
          <w:kern w:val="0"/>
          <w:sz w:val="24"/>
        </w:rPr>
      </w:pPr>
      <w:r>
        <w:rPr>
          <w:rFonts w:hint="eastAsia" w:ascii="宋体" w:hAnsi="宋体" w:cs="宋体"/>
          <w:kern w:val="0"/>
          <w:sz w:val="24"/>
        </w:rPr>
        <w:t>1、投标人领取了招标文件后不参加投标的，请在开标前3日以书面形式通知招标机构。若该项目因不足三家而导致重新招标，未予书面通知的单位将被取消重新参加该项目投标的资格；</w:t>
      </w:r>
    </w:p>
    <w:p>
      <w:pPr>
        <w:spacing w:line="360" w:lineRule="auto"/>
        <w:rPr>
          <w:rFonts w:ascii="新宋体" w:hAnsi="新宋体" w:eastAsia="新宋体" w:cs="新宋体"/>
          <w:b/>
          <w:bCs/>
          <w:sz w:val="24"/>
        </w:rPr>
      </w:pPr>
      <w:r>
        <w:rPr>
          <w:rFonts w:hint="eastAsia" w:ascii="宋体" w:hAnsi="宋体" w:cs="宋体"/>
          <w:kern w:val="0"/>
          <w:sz w:val="24"/>
        </w:rPr>
        <w:t>2、</w:t>
      </w:r>
      <w:r>
        <w:rPr>
          <w:rFonts w:hint="eastAsia" w:ascii="宋体" w:hAnsi="宋体" w:cs="新宋体"/>
          <w:sz w:val="24"/>
        </w:rPr>
        <w:t>中标单位签订合同时提供《供货确认函》原件经确认后实施。</w:t>
      </w: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八、项目需求：</w:t>
      </w:r>
    </w:p>
    <w:p>
      <w:pPr>
        <w:widowControl/>
        <w:spacing w:line="360" w:lineRule="auto"/>
        <w:jc w:val="left"/>
        <w:rPr>
          <w:rFonts w:ascii="宋体" w:hAnsi="宋体" w:cs="宋体"/>
          <w:kern w:val="0"/>
          <w:sz w:val="24"/>
        </w:rPr>
      </w:pPr>
      <w:r>
        <w:rPr>
          <w:rFonts w:hint="eastAsia" w:ascii="宋体" w:hAnsi="宋体" w:cs="宋体"/>
          <w:kern w:val="0"/>
          <w:sz w:val="24"/>
        </w:rPr>
        <w:t>1、以下技术条款出现负偏离将导致扣分。若参数严重偏离或影响到用户正常使用的情况，也将导致投标人被废标。</w:t>
      </w:r>
    </w:p>
    <w:p>
      <w:pPr>
        <w:widowControl/>
        <w:spacing w:line="360" w:lineRule="auto"/>
        <w:jc w:val="left"/>
        <w:rPr>
          <w:rFonts w:ascii="宋体" w:hAnsi="宋体" w:cs="宋体"/>
          <w:kern w:val="0"/>
          <w:sz w:val="24"/>
        </w:rPr>
      </w:pPr>
    </w:p>
    <w:p>
      <w:pPr>
        <w:spacing w:line="360" w:lineRule="auto"/>
        <w:rPr>
          <w:rFonts w:ascii="新宋体" w:hAnsi="新宋体" w:eastAsia="新宋体" w:cs="新宋体"/>
          <w:b/>
          <w:sz w:val="24"/>
        </w:rPr>
      </w:pPr>
      <w:r>
        <w:rPr>
          <w:rFonts w:hint="eastAsia" w:ascii="新宋体" w:hAnsi="新宋体" w:eastAsia="新宋体" w:cs="新宋体"/>
          <w:b/>
          <w:sz w:val="24"/>
        </w:rPr>
        <w:t>2、需求清单及技术参数表</w:t>
      </w:r>
    </w:p>
    <w:p>
      <w:pPr>
        <w:spacing w:line="360" w:lineRule="auto"/>
        <w:rPr>
          <w:rFonts w:ascii="新宋体" w:hAnsi="新宋体" w:eastAsia="新宋体" w:cs="新宋体"/>
          <w:b/>
          <w:sz w:val="24"/>
        </w:rPr>
      </w:pPr>
      <w:r>
        <w:rPr>
          <w:rFonts w:hint="eastAsia" w:ascii="新宋体" w:hAnsi="新宋体" w:eastAsia="新宋体" w:cs="新宋体"/>
          <w:b/>
          <w:sz w:val="24"/>
        </w:rPr>
        <w:t>2</w:t>
      </w:r>
      <w:r>
        <w:rPr>
          <w:rFonts w:ascii="新宋体" w:hAnsi="新宋体" w:eastAsia="新宋体" w:cs="新宋体"/>
          <w:b/>
          <w:sz w:val="24"/>
        </w:rPr>
        <w:t>.1</w:t>
      </w:r>
      <w:r>
        <w:rPr>
          <w:rFonts w:hint="eastAsia" w:ascii="新宋体" w:hAnsi="新宋体" w:eastAsia="新宋体" w:cs="新宋体"/>
          <w:b/>
          <w:sz w:val="24"/>
        </w:rPr>
        <w:t>需求清单</w:t>
      </w:r>
    </w:p>
    <w:tbl>
      <w:tblPr>
        <w:tblStyle w:val="7"/>
        <w:tblW w:w="8104" w:type="dxa"/>
        <w:tblInd w:w="113" w:type="dxa"/>
        <w:tblLayout w:type="autofit"/>
        <w:tblCellMar>
          <w:top w:w="0" w:type="dxa"/>
          <w:left w:w="108" w:type="dxa"/>
          <w:bottom w:w="0" w:type="dxa"/>
          <w:right w:w="108" w:type="dxa"/>
        </w:tblCellMar>
      </w:tblPr>
      <w:tblGrid>
        <w:gridCol w:w="988"/>
        <w:gridCol w:w="4677"/>
        <w:gridCol w:w="1276"/>
        <w:gridCol w:w="1163"/>
      </w:tblGrid>
      <w:tr>
        <w:tblPrEx>
          <w:tblCellMar>
            <w:top w:w="0" w:type="dxa"/>
            <w:left w:w="108" w:type="dxa"/>
            <w:bottom w:w="0" w:type="dxa"/>
            <w:right w:w="108" w:type="dxa"/>
          </w:tblCellMar>
        </w:tblPrEx>
        <w:trPr>
          <w:trHeight w:val="300"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46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产品名称</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11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校园视频直播管理系统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校园视频点播管理系统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4G无线WIFI高清直播编码器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电视台播音桌</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主扩声全频音箱</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辅助扩声全频音箱</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r>
      <w:tr>
        <w:tblPrEx>
          <w:tblCellMar>
            <w:top w:w="0" w:type="dxa"/>
            <w:left w:w="108" w:type="dxa"/>
            <w:bottom w:w="0" w:type="dxa"/>
            <w:right w:w="108" w:type="dxa"/>
          </w:tblCellMar>
        </w:tblPrEx>
        <w:trPr>
          <w:trHeight w:val="287"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主扩声功率放大器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287"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超重低音功率放大器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辅扩声功率放大器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调音台</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数字音频处理器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一拖二无线会议话筒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一拖二无线领夹话筒</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有线头戴麦克风</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音箱支架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配套线材</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施工辅材</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r>
      <w:tr>
        <w:tblPrEx>
          <w:tblCellMar>
            <w:top w:w="0" w:type="dxa"/>
            <w:left w:w="108" w:type="dxa"/>
            <w:bottom w:w="0" w:type="dxa"/>
            <w:right w:w="108" w:type="dxa"/>
          </w:tblCellMar>
        </w:tblPrEx>
        <w:trPr>
          <w:trHeight w:val="30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46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人工安装调试费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r>
    </w:tbl>
    <w:p>
      <w:pPr>
        <w:spacing w:line="360" w:lineRule="auto"/>
        <w:rPr>
          <w:rFonts w:ascii="新宋体" w:hAnsi="新宋体" w:eastAsia="新宋体" w:cs="新宋体"/>
          <w:b/>
          <w:sz w:val="24"/>
        </w:rPr>
      </w:pPr>
    </w:p>
    <w:p>
      <w:pPr>
        <w:spacing w:line="360" w:lineRule="auto"/>
        <w:rPr>
          <w:rFonts w:ascii="新宋体" w:hAnsi="新宋体" w:eastAsia="新宋体" w:cs="新宋体"/>
          <w:b/>
          <w:sz w:val="24"/>
        </w:rPr>
      </w:pPr>
      <w:r>
        <w:rPr>
          <w:rFonts w:hint="eastAsia" w:ascii="新宋体" w:hAnsi="新宋体" w:eastAsia="新宋体" w:cs="新宋体"/>
          <w:b/>
          <w:sz w:val="24"/>
        </w:rPr>
        <w:t>2</w:t>
      </w:r>
      <w:r>
        <w:rPr>
          <w:rFonts w:ascii="新宋体" w:hAnsi="新宋体" w:eastAsia="新宋体" w:cs="新宋体"/>
          <w:b/>
          <w:sz w:val="24"/>
        </w:rPr>
        <w:t>.2</w:t>
      </w:r>
      <w:r>
        <w:rPr>
          <w:rFonts w:hint="eastAsia" w:ascii="新宋体" w:hAnsi="新宋体" w:eastAsia="新宋体" w:cs="新宋体"/>
          <w:b/>
          <w:sz w:val="24"/>
        </w:rPr>
        <w:t>技术参数需求</w:t>
      </w:r>
    </w:p>
    <w:tbl>
      <w:tblPr>
        <w:tblStyle w:val="7"/>
        <w:tblW w:w="850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27"/>
        <w:gridCol w:w="839"/>
        <w:gridCol w:w="7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jc w:val="center"/>
        </w:trPr>
        <w:tc>
          <w:tcPr>
            <w:tcW w:w="427" w:type="dxa"/>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839" w:type="dxa"/>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货物</w:t>
            </w:r>
          </w:p>
          <w:p>
            <w:pPr>
              <w:jc w:val="center"/>
              <w:rPr>
                <w:rFonts w:ascii="宋体" w:hAnsi="宋体" w:cs="宋体"/>
                <w:b/>
                <w:bCs/>
                <w:color w:val="000000"/>
                <w:kern w:val="0"/>
                <w:szCs w:val="21"/>
              </w:rPr>
            </w:pPr>
            <w:r>
              <w:rPr>
                <w:rFonts w:hint="eastAsia" w:ascii="宋体" w:hAnsi="宋体" w:cs="宋体"/>
                <w:b/>
                <w:bCs/>
                <w:color w:val="000000"/>
                <w:kern w:val="0"/>
                <w:szCs w:val="21"/>
              </w:rPr>
              <w:t>名称</w:t>
            </w:r>
          </w:p>
        </w:tc>
        <w:tc>
          <w:tcPr>
            <w:tcW w:w="7240" w:type="dxa"/>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招标技术要求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校园视频直播管理系统</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校园具有丰富地内部带宽资源，同时也重视新知识、新文化、新政策地传播.利用校园网，学生可以在课余时间学习丰富地文化知识，降低教师地教导压力.优质地教育资源，因教学场地地限制只有少量地学生可以获得.网络教育直播则可让众多地学生有机会参与到学习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2、系统具有携带方便、搭建快捷、操作简单、应用广泛、直播效果清晰流畅等特点.系统采用B/S结构,直接构建在通用服务器上，不需要下载专用客户端播放程序.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3、满足学校各种直播应用场景；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4、支持网页端直接观看视频直播内容；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▲5、对接学校小黑板系统，可以在每个班级的小黑板系统中进行管理；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▲6、对接学校教研活动系统，老师可以直播观看公开课，并进行点评；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w:t>
            </w:r>
            <w:r>
              <w:rPr>
                <w:rFonts w:ascii="宋体" w:hAnsi="宋体" w:cs="宋体"/>
                <w:b/>
                <w:bCs/>
                <w:color w:val="000000"/>
                <w:kern w:val="0"/>
                <w:szCs w:val="21"/>
              </w:rPr>
              <w:t>7</w:t>
            </w:r>
            <w:r>
              <w:rPr>
                <w:rFonts w:hint="eastAsia" w:ascii="宋体" w:hAnsi="宋体" w:cs="宋体"/>
                <w:b/>
                <w:bCs/>
                <w:color w:val="000000"/>
                <w:kern w:val="0"/>
                <w:szCs w:val="21"/>
              </w:rPr>
              <w:t xml:space="preserve">、提供厂家针对本项目的授权证明文件；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校园视频点播管理系统</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1、支持在网页端和移动端观看视频内容；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▲2、对接学校校本资源管理系统，支持视频内容分类管理；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▲3、对接学校小黑板系统，可以在班级小黑板系统中观看视频内容；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4、支持PC端视频资源内容的管理功能；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4G无线WIFI高清直播编码器</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▲1、采用高效H.265/H.264高清数字视频压缩技术，具备稳定可靠高清晰度、低码率、低延时等特点；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2、支持高清1080P视频直播录制；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3、支持4G/WIFI/有线网络直播；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4、内置大容量锂电池，可反复充电使用；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5、高清HDMI接口；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6、HDMI分辨率：1920×1080@60i/60P1920×1080；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7、视频编码格式：H.264/H.265；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8、视频码率范围：16kbps~12Mbps；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9、视频码率控制：CBR/VBR；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10、音频编码格式：AAC、G.711(ONVIF用)支持外接音频输入；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11、音频采样率：32K 44.1K 48K；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12、音频比特率：48K，64K，96K,128K,160K,192K,256K;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13、音频采样精度：24bit；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14、音频码率范围：64Kb/s~384Kb/s；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15、支持网络接口：RJ45:1000M网口 无线WIFI:2.4G150M  3G/4G:11M;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16、支持网络协议:HTTP,UTP，RTSP，RTMP，ONVIF协议；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17、操作配置界面：Web操作配置界面；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8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电视台播音桌</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两位播音桌、颜色款式根据客户需求定制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主扩声全频音箱</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1、频率响应下限不高于32Hz，上限不低于20KHz；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2、灵敏度不小于100dB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3、连续声压级不小于126dB，峰值声压级不小于132dB；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4、额定功率不小于400W；峰值功率不小于1600W；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5、低音单元不低于15寸，高音单元不低于1寸；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b/>
                <w:bCs/>
                <w:color w:val="000000"/>
                <w:kern w:val="0"/>
                <w:szCs w:val="21"/>
              </w:rPr>
              <w:t>本项目要求全频音箱、功率放大器、数字音频处理器须同一品牌。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辅助扩声全频音箱</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1、频率响应下限不高于40Hz，上限不低于20KHz；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2、灵敏度不小于94dB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3、连续声压级不小于118dB，峰值声压级不小于124dB；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4、额定功率不小于150W；峰值功率不小于600W；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5、低音单元不低于8寸，高音单元不低于1寸；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主扩声功率放大器</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1、额定输出功率：8Ω立体声不小于700W×2，4Ω立体声不小于1050W×2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2、信噪比不小于105dB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3、频率响应下限不高于20Hz，上限不低于20kHz；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▲4、内置不小于6路220V电源时序输出插座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▲5、具有远程控制端口，支持有线和无线远程控制该功放和内置的不小于六路电源时序输出开关机；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6、保护功能不少于短路、限幅、直流、过热、过载、软启动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7、LED指示不少于保护灯，限幅灯，信号指示灯，电源指示灯。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▲8、LCD显示不少于工作温度、日期、时间、工作电压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▲9、不少于2个日期时间参数设置按钮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1</w:t>
            </w:r>
            <w:r>
              <w:rPr>
                <w:rFonts w:ascii="宋体" w:hAnsi="宋体" w:cs="宋体"/>
                <w:b/>
                <w:bCs/>
                <w:color w:val="000000"/>
                <w:kern w:val="0"/>
                <w:szCs w:val="21"/>
              </w:rPr>
              <w:t>0</w:t>
            </w:r>
            <w:r>
              <w:rPr>
                <w:rFonts w:hint="eastAsia" w:ascii="宋体" w:hAnsi="宋体" w:cs="宋体"/>
                <w:b/>
                <w:bCs/>
                <w:color w:val="000000"/>
                <w:kern w:val="0"/>
                <w:szCs w:val="21"/>
              </w:rPr>
              <w:t>、资质要求：</w:t>
            </w:r>
          </w:p>
          <w:p>
            <w:pPr>
              <w:widowControl/>
              <w:numPr>
                <w:ilvl w:val="0"/>
                <w:numId w:val="1"/>
              </w:numPr>
              <w:jc w:val="left"/>
              <w:rPr>
                <w:rFonts w:ascii="宋体" w:hAnsi="宋体" w:cs="宋体"/>
                <w:b/>
                <w:bCs/>
                <w:color w:val="000000"/>
                <w:kern w:val="0"/>
                <w:szCs w:val="21"/>
              </w:rPr>
            </w:pPr>
            <w:r>
              <w:rPr>
                <w:rFonts w:hint="eastAsia" w:ascii="宋体" w:hAnsi="宋体" w:cs="宋体"/>
                <w:b/>
                <w:bCs/>
                <w:color w:val="000000"/>
                <w:kern w:val="0"/>
                <w:szCs w:val="21"/>
              </w:rPr>
              <w:t>提供国家权威检测机构出具的CNAS功能性检测报告复印件加盖厂商公章，原件备查。检测报告应具有参数中带“▲”的功能描述。</w:t>
            </w:r>
          </w:p>
          <w:p>
            <w:pPr>
              <w:widowControl/>
              <w:numPr>
                <w:ilvl w:val="0"/>
                <w:numId w:val="1"/>
              </w:numPr>
              <w:jc w:val="left"/>
              <w:rPr>
                <w:rFonts w:ascii="宋体" w:hAnsi="宋体" w:cs="宋体"/>
                <w:b/>
                <w:bCs/>
                <w:color w:val="000000"/>
                <w:kern w:val="0"/>
                <w:szCs w:val="21"/>
              </w:rPr>
            </w:pPr>
            <w:r>
              <w:rPr>
                <w:rFonts w:hint="eastAsia" w:ascii="宋体" w:hAnsi="宋体" w:cs="宋体"/>
                <w:b/>
                <w:bCs/>
                <w:color w:val="000000"/>
                <w:kern w:val="0"/>
                <w:szCs w:val="21"/>
              </w:rPr>
              <w:t>为保证检测报告真实性：</w:t>
            </w:r>
          </w:p>
          <w:p>
            <w:pPr>
              <w:widowControl/>
              <w:jc w:val="left"/>
              <w:rPr>
                <w:rFonts w:ascii="宋体" w:hAnsi="宋体" w:cs="宋体"/>
                <w:b/>
                <w:bCs/>
                <w:color w:val="000000"/>
                <w:kern w:val="0"/>
                <w:szCs w:val="21"/>
              </w:rPr>
            </w:pPr>
            <w:r>
              <w:rPr>
                <w:rFonts w:hint="eastAsia" w:ascii="宋体" w:hAnsi="宋体" w:cs="宋体"/>
                <w:b/>
                <w:bCs/>
                <w:color w:val="000000"/>
                <w:kern w:val="0"/>
                <w:szCs w:val="21"/>
              </w:rPr>
              <w:t>1）投标人须提供此检测机构获准中国合格评定国家认可委员会CNAS认证资格官网查询截图和CNAS实验室认可证书并加盖制造商公章；</w:t>
            </w:r>
          </w:p>
          <w:p>
            <w:pPr>
              <w:widowControl/>
              <w:jc w:val="left"/>
              <w:rPr>
                <w:rFonts w:ascii="宋体" w:hAnsi="宋体" w:cs="宋体"/>
                <w:b/>
                <w:bCs/>
                <w:color w:val="000000"/>
                <w:kern w:val="0"/>
                <w:szCs w:val="21"/>
              </w:rPr>
            </w:pPr>
            <w:r>
              <w:rPr>
                <w:rFonts w:hint="eastAsia" w:ascii="宋体" w:hAnsi="宋体" w:cs="宋体"/>
                <w:b/>
                <w:bCs/>
                <w:color w:val="000000"/>
                <w:kern w:val="0"/>
                <w:szCs w:val="21"/>
              </w:rPr>
              <w:t>2）投标人须提供CNAS功能性检测报告编号在检测机构官网查询截图和链接并加盖制造商公章。</w:t>
            </w:r>
          </w:p>
          <w:p>
            <w:pPr>
              <w:widowControl/>
              <w:jc w:val="left"/>
              <w:rPr>
                <w:rFonts w:ascii="宋体" w:hAnsi="宋体" w:cs="宋体"/>
                <w:color w:val="000000"/>
                <w:kern w:val="0"/>
                <w:szCs w:val="21"/>
              </w:rPr>
            </w:pPr>
            <w:r>
              <w:rPr>
                <w:rFonts w:hint="eastAsia" w:ascii="宋体" w:hAnsi="宋体" w:cs="宋体"/>
                <w:b/>
                <w:bCs/>
                <w:color w:val="000000"/>
                <w:kern w:val="0"/>
                <w:szCs w:val="21"/>
              </w:rPr>
              <w:t>3）投标人出具的CNAS功能性检测报告中的“送检或完成日期”须早于开标日期至少3个月完成，且检测报告中须附有检测样品正面和背面的外观照片。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超重低音功率放大器</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1、额定输出功率：8Ω立体声不小于1000W×2，4Ω立体声不小于1500W×2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2、信噪比:&gt;105dB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3、频率响应下限不高于20Hz，上限不低于20kHz；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▲4、内置不小于6路220V电源时序输出插座；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▲5、具有远程控制端口，支持有线和无线远程控制该功放和内置的不小于六路电源时序输出开关机；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6、保护功能不少于短路、限幅、直流、过热、过载、软启动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7、LED指示不少于保护灯，限幅灯，信号指示灯，电源指示灯。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8、LCD显示不少于工作温度、日期、时间、工作电压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9、不少于2个日期时间参数设置按钮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辅扩声功率放大器</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1、额定输出功率：8Ω立体声不小于200W×2，4Ω立体声不小于380W×2；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2、信噪比不小于105dB；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3、频率响应下限不高于20Hz，上限不低于20kHz；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▲4、内置不小于6路220V电源时序输出插座；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▲5、具有远程控制端口，支持有线和无线远程控制该功放和内置的不小于六路电源时序输出开关机；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6、保护功能不少于短路、限幅、直流、过热、过载、软启动；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7、LED指示不少于保护灯，限幅灯，信号指示灯，电源指示灯；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8、LCD显示不少于工作温度、日期、时间、工作电压；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9、不少于2个日期时间参数设置按钮；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调音台</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▲1、输入不小于16路线路输入，不小于10路单声道输入，不小于4组立体声输入，不小于1组2TR输入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▲2、输出：立体声主输出L、R；编组×不小于4；不小于一组MONITOR控制室立体声监听输出；不小于一路立体声监听耳机输出；辅助AUX×不小于3，具有不小于三路辅助发送接口，不小于一路立体声辅助返回接口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具备分离开关的录音机输入/输出，将讯号发送到控制室和主混音输出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3、内置高精度数字DSP效果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4、每路带单独48V幻象供电开关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5、高精度衰减器推子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6、具有脚踏开关输入输出接口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数字音频处理器</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1.不小于4路平衡式话筒/线路输入，不小于8路平衡式输出；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▲2.不小于3个RJ45网络端口，不小于1个用于PC通过软件控制设备，不小于2个DANTE数字信号输入输出；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▲3.光纤同轴端口：设备后面板带有1路光纤、1路同轴数字信号输入端口，可通过PC控制软件和机器面板不少于两种方式操作选择使用；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▲4.不小于一个AES/EBU数字音频输入端口，可通过PC控制软件和机器面板不少于两种方式操作选择使用；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▲5.自带一个远程控制端口，远程控制功率放大器及电源时序器通讯并控制其开关机，远程控制中的功放/电源时序器的开启、关闭可以通过软件以及机器面板不少于两种方式操作；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6.不少于一路RS-232中控控制端口；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7.软件界面支持不少于中文、英文、繁体（其他语言可定制）；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8.输入DSP配套软件具有多种音频处理器模块不少于噪声门、输入参量均衡器、延时器、矩阵混音器、输出参量均衡器、分频器、输出延时器、压缩器，限幅器，调音推杆，信号指示表和信号发生器等；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9.具有不少于30个场景设备存档，可设定任意一个为开机档，其他随时调用，具有导入存档、导出存档、导入存档包、导出存档包，可方便的保存、调用、删除、清楚设备存档参数；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10.设备具有USB端口、TCP/IP网络端口不少于2种方式连接通过PC控制软件对设备进性操作控制；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11.输入、输出均衡器调试好后可方便的做EQ存档，可保存不少于40个EQ参数共现场调用；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12.机器软件支持多台设备分组联调、通道联调、DSP参数联调，方便现场系统搭建调试；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13.输入选择：每路输入通道在软件界面和处理器面板通过按键旋钮可选择除Analog(模拟信号)之外还有不少于Dante、AES/EBU、Cobranet、MADI、Ethersound、Optical、coaxial、N-net等多种数字信号，另外方便扩声系统测试，通过软件输入通道模块界面可选择正弦波、粉红噪声、白噪声三种测试信号供用户根据系统搭建调试需要选择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14.音频矩阵处理器可实现以太网远程跨网段控制，可远程实时对设备进行调试和维护，解决产品应用调试和售后维护响应时间久的问题。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一拖二无线会议话筒</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1、接收频道数：双频道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2、机箱规格：EIA标准1U</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 接收方式：CPU控制自动选讯接收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 载波频段：UHF 480~934MHZ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5、接收天线：后置分离式设计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6、振荡模式：PLL电路，频率稳定度≤0.005%（-10~+60℃）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7、默认频率数：第1~6群组各预设8个无条件限制的互不干扰频率，第7~10群组各预设16个设15个互不干扰频率，共默认102个精挑的频率组合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8、实用灵敏度：输入10dBμV时，S/N&gt;80dB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9、综合S/N比：&gt;106dB(A)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10、综合T.H.D.：&lt;0.5% @ 1kHz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11、综合频率响应：50Hz~18kHz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12、静音控制模式：音码及噪声锁定双重静音控制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13、音量输出：各频道具有音量控制器个别调整音量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一拖二无线领夹话筒</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1、每个频段可兼容的系统数量：12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 自动设置功能：频道/组扫描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3、天线：1/4波长天线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 接收机显示屏：多功能LCD + LED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5、输出阻抗：XLR接口：200 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6、6.35毫米（1/4英寸）接口: 50 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 音频输出电平：参考±33 kHz偏差，1 kHz音调；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8、XLR接口：–27 dBV（连接至100 kΩ负载）；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9、6.35毫米(1/4英寸)接口:–13 dBV（连接至100kΩ负载）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 灵敏度：-105 dB，12 dB SINAD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11、 镜频抑制：&gt;50 dB（典型值）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restart"/>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8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有线头戴麦克风</w:t>
            </w: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1、电容拾音头、提供细腻、饱满的人声效果；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2、灵活的鹅颈设计和不同的调节选项，可优化话筒拾音头定位，进一步改进隔音效果；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vMerge w:val="continue"/>
            <w:vAlign w:val="center"/>
          </w:tcPr>
          <w:p>
            <w:pPr>
              <w:widowControl/>
              <w:jc w:val="left"/>
              <w:rPr>
                <w:rFonts w:ascii="宋体" w:hAnsi="宋体" w:cs="宋体"/>
                <w:color w:val="000000"/>
                <w:kern w:val="0"/>
                <w:szCs w:val="21"/>
              </w:rPr>
            </w:pPr>
          </w:p>
        </w:tc>
        <w:tc>
          <w:tcPr>
            <w:tcW w:w="839" w:type="dxa"/>
            <w:vMerge w:val="continue"/>
            <w:vAlign w:val="center"/>
          </w:tcPr>
          <w:p>
            <w:pPr>
              <w:widowControl/>
              <w:jc w:val="left"/>
              <w:rPr>
                <w:rFonts w:ascii="宋体" w:hAnsi="宋体" w:cs="宋体"/>
                <w:color w:val="000000"/>
                <w:kern w:val="0"/>
                <w:szCs w:val="21"/>
              </w:rPr>
            </w:pPr>
          </w:p>
        </w:tc>
        <w:tc>
          <w:tcPr>
            <w:tcW w:w="724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3、附带的防风罩，可抑制爆破音，提供清晰的声音再现；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8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音箱支架</w:t>
            </w:r>
          </w:p>
        </w:tc>
        <w:tc>
          <w:tcPr>
            <w:tcW w:w="7240"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配套音箱壁挂支架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8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配套线材</w:t>
            </w:r>
          </w:p>
        </w:tc>
        <w:tc>
          <w:tcPr>
            <w:tcW w:w="7240"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配套的音频线、视频线、电源线等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8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施工辅材</w:t>
            </w:r>
          </w:p>
        </w:tc>
        <w:tc>
          <w:tcPr>
            <w:tcW w:w="7240"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配套跳线及音视频接头等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1" w:hRule="atLeast"/>
          <w:jc w:val="center"/>
        </w:trPr>
        <w:tc>
          <w:tcPr>
            <w:tcW w:w="42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8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人工安装调试费</w:t>
            </w:r>
          </w:p>
        </w:tc>
        <w:tc>
          <w:tcPr>
            <w:tcW w:w="7240" w:type="dxa"/>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本项目所包含的设备安装调试及线材敷设等　</w:t>
            </w:r>
          </w:p>
        </w:tc>
      </w:tr>
    </w:tbl>
    <w:p>
      <w:pPr>
        <w:spacing w:line="360" w:lineRule="auto"/>
        <w:rPr>
          <w:rFonts w:ascii="新宋体" w:hAnsi="新宋体" w:eastAsia="新宋体" w:cs="新宋体"/>
          <w:b/>
          <w:sz w:val="24"/>
        </w:rPr>
      </w:pPr>
    </w:p>
    <w:bookmarkEnd w:id="0"/>
    <w:p>
      <w:pPr>
        <w:spacing w:line="360" w:lineRule="auto"/>
        <w:rPr>
          <w:rFonts w:ascii="新宋体" w:hAnsi="新宋体" w:eastAsia="新宋体" w:cs="新宋体"/>
          <w:sz w:val="24"/>
        </w:rPr>
      </w:pPr>
      <w:r>
        <w:rPr>
          <w:rFonts w:hint="eastAsia" w:ascii="新宋体" w:hAnsi="新宋体" w:eastAsia="新宋体" w:cs="新宋体"/>
          <w:sz w:val="24"/>
        </w:rPr>
        <w:t>备注：</w:t>
      </w:r>
    </w:p>
    <w:p>
      <w:pPr>
        <w:widowControl/>
        <w:shd w:val="clear" w:color="auto" w:fill="FFFFFF"/>
        <w:spacing w:line="360" w:lineRule="auto"/>
        <w:ind w:firstLine="484" w:firstLineChars="202"/>
        <w:jc w:val="left"/>
        <w:rPr>
          <w:rFonts w:ascii="新宋体" w:hAnsi="新宋体" w:eastAsia="新宋体" w:cs="新宋体"/>
          <w:kern w:val="0"/>
          <w:sz w:val="24"/>
        </w:rPr>
      </w:pPr>
      <w:r>
        <w:rPr>
          <w:rFonts w:hint="eastAsia" w:ascii="新宋体" w:hAnsi="新宋体" w:eastAsia="新宋体" w:cs="新宋体"/>
          <w:kern w:val="0"/>
          <w:sz w:val="24"/>
        </w:rPr>
        <w:t>1.本项目在技术要求中所涉及的设备、材料的品牌、型号仅供投标人参考。投标人所投设备、材料的技术参数不得低于参考品牌的技术要求和档次。</w:t>
      </w:r>
    </w:p>
    <w:p>
      <w:pPr>
        <w:widowControl/>
        <w:shd w:val="clear" w:color="auto" w:fill="FFFFFF"/>
        <w:spacing w:line="360" w:lineRule="auto"/>
        <w:ind w:firstLine="484" w:firstLineChars="202"/>
        <w:jc w:val="left"/>
        <w:rPr>
          <w:rFonts w:ascii="新宋体" w:hAnsi="新宋体" w:eastAsia="新宋体" w:cs="新宋体"/>
          <w:kern w:val="0"/>
          <w:sz w:val="24"/>
        </w:rPr>
      </w:pPr>
      <w:r>
        <w:rPr>
          <w:rFonts w:hint="eastAsia" w:ascii="新宋体" w:hAnsi="新宋体" w:eastAsia="新宋体" w:cs="新宋体"/>
          <w:kern w:val="0"/>
          <w:sz w:val="24"/>
        </w:rPr>
        <w:t>2、本项目需求中要求提供的各项证明材料均提供扫描件，原件备查。</w:t>
      </w:r>
    </w:p>
    <w:p>
      <w:pPr>
        <w:widowControl/>
        <w:shd w:val="clear" w:color="auto" w:fill="FFFFFF"/>
        <w:spacing w:line="360" w:lineRule="auto"/>
        <w:ind w:firstLine="484" w:firstLineChars="202"/>
        <w:jc w:val="left"/>
        <w:rPr>
          <w:rFonts w:ascii="新宋体" w:hAnsi="新宋体" w:eastAsia="新宋体" w:cs="新宋体"/>
          <w:kern w:val="0"/>
          <w:sz w:val="24"/>
        </w:rPr>
      </w:pPr>
      <w:r>
        <w:rPr>
          <w:rFonts w:hint="eastAsia" w:ascii="新宋体" w:hAnsi="新宋体" w:eastAsia="新宋体" w:cs="新宋体"/>
          <w:kern w:val="0"/>
          <w:sz w:val="24"/>
        </w:rPr>
        <w:t>3为防止假冒伪劣产品进入学校，中标供应商应在中标后3日内应将所投设备生产厂商出具的供货承诺函原件送至学校，逾期不送达的，视为不能按期供货，不予签订合同，并报请相关部门严肃处理。</w:t>
      </w:r>
    </w:p>
    <w:p>
      <w:pPr>
        <w:widowControl/>
        <w:numPr>
          <w:ilvl w:val="0"/>
          <w:numId w:val="2"/>
        </w:numPr>
        <w:shd w:val="clear" w:color="auto" w:fill="FFFFFF"/>
        <w:spacing w:line="360" w:lineRule="auto"/>
        <w:ind w:firstLine="424"/>
        <w:jc w:val="left"/>
        <w:rPr>
          <w:rFonts w:ascii="新宋体" w:hAnsi="新宋体" w:eastAsia="新宋体" w:cs="新宋体"/>
          <w:kern w:val="0"/>
          <w:sz w:val="24"/>
        </w:rPr>
      </w:pPr>
      <w:r>
        <w:rPr>
          <w:rFonts w:hint="eastAsia" w:ascii="新宋体" w:hAnsi="新宋体" w:eastAsia="新宋体" w:cs="新宋体"/>
          <w:kern w:val="0"/>
          <w:sz w:val="24"/>
        </w:rPr>
        <w:t>招标文件的技术和商务要求必须全部满足，有任何一条偏离将导致废标。</w:t>
      </w:r>
    </w:p>
    <w:p>
      <w:pPr>
        <w:widowControl/>
        <w:shd w:val="clear" w:color="auto" w:fill="FFFFFF"/>
        <w:spacing w:line="360" w:lineRule="auto"/>
        <w:jc w:val="left"/>
        <w:rPr>
          <w:rFonts w:ascii="新宋体" w:hAnsi="新宋体" w:eastAsia="新宋体" w:cs="新宋体"/>
          <w:kern w:val="0"/>
          <w:sz w:val="24"/>
        </w:rPr>
      </w:pP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九、评分细则：</w:t>
      </w:r>
    </w:p>
    <w:tbl>
      <w:tblPr>
        <w:tblStyle w:val="7"/>
        <w:tblW w:w="87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41"/>
        <w:gridCol w:w="640"/>
        <w:gridCol w:w="1544"/>
        <w:gridCol w:w="851"/>
        <w:gridCol w:w="5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spacing w:line="360" w:lineRule="auto"/>
              <w:jc w:val="center"/>
              <w:rPr>
                <w:rFonts w:ascii="等线" w:hAnsi="等线" w:eastAsia="等线" w:cs="等线"/>
                <w:b/>
                <w:bCs/>
                <w:szCs w:val="21"/>
              </w:rPr>
            </w:pPr>
            <w:r>
              <w:rPr>
                <w:rFonts w:hint="eastAsia" w:ascii="等线" w:hAnsi="等线" w:cs="等线"/>
                <w:b/>
                <w:bCs/>
                <w:szCs w:val="21"/>
              </w:rPr>
              <w:t>序号</w:t>
            </w:r>
          </w:p>
        </w:tc>
        <w:tc>
          <w:tcPr>
            <w:tcW w:w="3035"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spacing w:line="360" w:lineRule="auto"/>
              <w:jc w:val="center"/>
              <w:rPr>
                <w:rFonts w:ascii="等线" w:hAnsi="等线" w:cs="等线"/>
                <w:b/>
                <w:bCs/>
                <w:szCs w:val="21"/>
              </w:rPr>
            </w:pPr>
            <w:r>
              <w:rPr>
                <w:rFonts w:hint="eastAsia" w:ascii="等线" w:hAnsi="等线" w:cs="等线"/>
                <w:b/>
                <w:bCs/>
                <w:szCs w:val="21"/>
              </w:rPr>
              <w:t>评分项</w:t>
            </w:r>
          </w:p>
        </w:tc>
        <w:tc>
          <w:tcPr>
            <w:tcW w:w="50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spacing w:line="360" w:lineRule="auto"/>
              <w:jc w:val="center"/>
              <w:rPr>
                <w:rFonts w:ascii="等线" w:hAnsi="等线" w:cs="等线"/>
                <w:b/>
                <w:bCs/>
                <w:szCs w:val="21"/>
              </w:rPr>
            </w:pPr>
            <w:r>
              <w:rPr>
                <w:rFonts w:hint="eastAsia" w:ascii="等线" w:hAnsi="等线" w:cs="等线"/>
                <w:b/>
                <w:bCs/>
                <w:szCs w:val="21"/>
              </w:rPr>
              <w:t>分数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1</w:t>
            </w:r>
          </w:p>
        </w:tc>
        <w:tc>
          <w:tcPr>
            <w:tcW w:w="3035" w:type="dxa"/>
            <w:gridSpan w:val="3"/>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等线" w:hAnsi="等线" w:cs="等线"/>
                <w:b/>
                <w:szCs w:val="21"/>
              </w:rPr>
            </w:pPr>
            <w:r>
              <w:rPr>
                <w:rFonts w:hint="eastAsia" w:ascii="等线" w:hAnsi="等线" w:cs="等线"/>
                <w:b/>
                <w:bCs/>
                <w:szCs w:val="21"/>
              </w:rPr>
              <w:t>价格部分</w:t>
            </w:r>
          </w:p>
        </w:tc>
        <w:tc>
          <w:tcPr>
            <w:tcW w:w="5080"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30</w:t>
            </w:r>
            <w:r>
              <w:rPr>
                <w:rFonts w:hint="eastAsia" w:ascii="等线" w:hAnsi="等线" w:cs="等线"/>
                <w:bCs/>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22" w:hRule="atLeast"/>
          <w:jc w:val="center"/>
        </w:trPr>
        <w:tc>
          <w:tcPr>
            <w:tcW w:w="641" w:type="dxa"/>
            <w:vMerge w:val="restart"/>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2</w:t>
            </w:r>
          </w:p>
        </w:tc>
        <w:tc>
          <w:tcPr>
            <w:tcW w:w="3035" w:type="dxa"/>
            <w:gridSpan w:val="3"/>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技术部分</w:t>
            </w:r>
          </w:p>
        </w:tc>
        <w:tc>
          <w:tcPr>
            <w:tcW w:w="5080"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left"/>
              <w:rPr>
                <w:rFonts w:ascii="等线" w:hAnsi="等线" w:eastAsia="等线" w:cs="等线"/>
                <w:b/>
                <w:bCs/>
                <w:szCs w:val="21"/>
              </w:rPr>
            </w:pPr>
          </w:p>
        </w:tc>
        <w:tc>
          <w:tcPr>
            <w:tcW w:w="64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center"/>
              <w:rPr>
                <w:rFonts w:ascii="等线" w:hAnsi="等线" w:cs="等线"/>
                <w:szCs w:val="21"/>
              </w:rPr>
            </w:pPr>
            <w:r>
              <w:rPr>
                <w:rFonts w:hint="eastAsia" w:ascii="等线" w:hAnsi="等线" w:cs="等线"/>
                <w:szCs w:val="21"/>
              </w:rPr>
              <w:t>序号</w:t>
            </w:r>
          </w:p>
        </w:tc>
        <w:tc>
          <w:tcPr>
            <w:tcW w:w="1544"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center"/>
              <w:rPr>
                <w:rFonts w:ascii="等线" w:hAnsi="等线" w:cs="等线"/>
                <w:szCs w:val="21"/>
              </w:rPr>
            </w:pPr>
            <w:r>
              <w:rPr>
                <w:rFonts w:hint="eastAsia" w:ascii="等线" w:hAnsi="等线" w:cs="等线"/>
                <w:szCs w:val="21"/>
              </w:rPr>
              <w:t>评分因素</w:t>
            </w:r>
          </w:p>
        </w:tc>
        <w:tc>
          <w:tcPr>
            <w:tcW w:w="85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center"/>
              <w:rPr>
                <w:rFonts w:ascii="等线" w:hAnsi="等线" w:cs="等线"/>
                <w:szCs w:val="21"/>
              </w:rPr>
            </w:pPr>
            <w:r>
              <w:rPr>
                <w:rFonts w:hint="eastAsia" w:ascii="等线" w:hAnsi="等线" w:cs="等线"/>
                <w:szCs w:val="21"/>
              </w:rPr>
              <w:t>分数</w:t>
            </w:r>
          </w:p>
        </w:tc>
        <w:tc>
          <w:tcPr>
            <w:tcW w:w="50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center"/>
              <w:rPr>
                <w:rFonts w:ascii="等线" w:hAnsi="等线" w:cs="等线"/>
                <w:szCs w:val="21"/>
              </w:rPr>
            </w:pPr>
            <w:r>
              <w:rPr>
                <w:rFonts w:hint="eastAsia" w:ascii="等线" w:hAnsi="等线" w:cs="等线"/>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等线" w:hAnsi="等线" w:eastAsia="等线" w:cs="等线"/>
                <w:b/>
                <w:bCs/>
                <w:szCs w:val="21"/>
              </w:rPr>
            </w:pPr>
          </w:p>
        </w:tc>
        <w:tc>
          <w:tcPr>
            <w:tcW w:w="64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544"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szCs w:val="21"/>
              </w:rPr>
              <w:t>交货期</w:t>
            </w:r>
          </w:p>
        </w:tc>
        <w:tc>
          <w:tcPr>
            <w:tcW w:w="85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508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left"/>
              <w:rPr>
                <w:rFonts w:ascii="宋体" w:hAnsi="宋体" w:cs="宋体"/>
                <w:szCs w:val="21"/>
              </w:rPr>
            </w:pPr>
            <w:r>
              <w:rPr>
                <w:rFonts w:hint="eastAsia" w:ascii="宋体" w:hAnsi="宋体" w:cs="宋体"/>
                <w:kern w:val="0"/>
                <w:szCs w:val="21"/>
              </w:rPr>
              <w:t>在投标文件中详细说明交货期，评标委员会根据响应情况进行横向比较，提前最多时间完工的为优，横向比较0～2分。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等线" w:hAnsi="等线" w:eastAsia="等线" w:cs="等线"/>
                <w:b/>
                <w:bCs/>
                <w:szCs w:val="21"/>
              </w:rPr>
            </w:pPr>
          </w:p>
        </w:tc>
        <w:tc>
          <w:tcPr>
            <w:tcW w:w="64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44"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kern w:val="0"/>
                <w:szCs w:val="21"/>
              </w:rPr>
              <w:t>售后服务响应时间</w:t>
            </w:r>
          </w:p>
        </w:tc>
        <w:tc>
          <w:tcPr>
            <w:tcW w:w="85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kern w:val="0"/>
                <w:szCs w:val="21"/>
              </w:rPr>
              <w:t>3</w:t>
            </w:r>
          </w:p>
        </w:tc>
        <w:tc>
          <w:tcPr>
            <w:tcW w:w="508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left"/>
              <w:rPr>
                <w:rFonts w:ascii="宋体" w:hAnsi="宋体" w:cs="宋体"/>
                <w:szCs w:val="21"/>
              </w:rPr>
            </w:pPr>
            <w:r>
              <w:rPr>
                <w:rFonts w:hint="eastAsia" w:ascii="宋体" w:hAnsi="宋体" w:cs="宋体"/>
                <w:kern w:val="0"/>
                <w:szCs w:val="21"/>
              </w:rPr>
              <w:t>评标委员会根据投标文件中售后服务承诺及响应情况进行横向比较，在接到用户报障通知后，最快时间到达用户现场者为优，横向比较0～3分。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等线" w:hAnsi="等线" w:eastAsia="等线" w:cs="等线"/>
                <w:b/>
                <w:bCs/>
                <w:szCs w:val="21"/>
              </w:rPr>
            </w:pPr>
          </w:p>
        </w:tc>
        <w:tc>
          <w:tcPr>
            <w:tcW w:w="64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544"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技术参数响应</w:t>
            </w:r>
          </w:p>
        </w:tc>
        <w:tc>
          <w:tcPr>
            <w:tcW w:w="85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30</w:t>
            </w:r>
          </w:p>
        </w:tc>
        <w:tc>
          <w:tcPr>
            <w:tcW w:w="508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left"/>
              <w:rPr>
                <w:rFonts w:ascii="宋体" w:hAnsi="宋体" w:cs="宋体"/>
                <w:kern w:val="0"/>
                <w:szCs w:val="21"/>
              </w:rPr>
            </w:pPr>
            <w:r>
              <w:rPr>
                <w:rFonts w:hint="eastAsia" w:ascii="宋体" w:hAnsi="宋体" w:cs="宋体"/>
                <w:kern w:val="0"/>
                <w:szCs w:val="21"/>
              </w:rPr>
              <w:t>投标人应按照招标文件的技术要求如实填写《技术条款响应表》，评审委员会根据技术需求参数响应情况进行打分，最高得3</w:t>
            </w:r>
            <w:r>
              <w:rPr>
                <w:rFonts w:ascii="宋体" w:hAnsi="宋体" w:cs="宋体"/>
                <w:kern w:val="0"/>
                <w:szCs w:val="21"/>
              </w:rPr>
              <w:t>0</w:t>
            </w:r>
            <w:r>
              <w:rPr>
                <w:rFonts w:hint="eastAsia" w:ascii="宋体" w:hAnsi="宋体" w:cs="宋体"/>
                <w:kern w:val="0"/>
                <w:szCs w:val="21"/>
              </w:rPr>
              <w:t>分。带“▲”号参数有一项指标不满足的扣</w:t>
            </w:r>
            <w:r>
              <w:rPr>
                <w:rFonts w:ascii="宋体" w:hAnsi="宋体" w:cs="宋体"/>
                <w:kern w:val="0"/>
                <w:szCs w:val="21"/>
              </w:rPr>
              <w:t>3</w:t>
            </w:r>
            <w:r>
              <w:rPr>
                <w:rFonts w:hint="eastAsia" w:ascii="宋体" w:hAnsi="宋体" w:cs="宋体"/>
                <w:kern w:val="0"/>
                <w:szCs w:val="21"/>
              </w:rPr>
              <w:t>分，一般参数有一项指标不满足的扣1分。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166" w:hRule="atLeast"/>
          <w:jc w:val="center"/>
        </w:trPr>
        <w:tc>
          <w:tcPr>
            <w:tcW w:w="64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等线" w:hAnsi="等线" w:eastAsia="等线" w:cs="等线"/>
                <w:b/>
                <w:bCs/>
                <w:szCs w:val="21"/>
              </w:rPr>
            </w:pPr>
          </w:p>
        </w:tc>
        <w:tc>
          <w:tcPr>
            <w:tcW w:w="64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1544"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证明文件</w:t>
            </w:r>
          </w:p>
        </w:tc>
        <w:tc>
          <w:tcPr>
            <w:tcW w:w="85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5</w:t>
            </w:r>
          </w:p>
        </w:tc>
        <w:tc>
          <w:tcPr>
            <w:tcW w:w="5080" w:type="dxa"/>
            <w:tcBorders>
              <w:top w:val="single" w:color="000000" w:sz="8" w:space="0"/>
              <w:left w:val="single" w:color="000000" w:sz="8" w:space="0"/>
              <w:bottom w:val="single" w:color="000000" w:sz="8" w:space="0"/>
              <w:right w:val="single" w:color="000000" w:sz="8" w:space="0"/>
            </w:tcBorders>
            <w:vAlign w:val="center"/>
          </w:tcPr>
          <w:p>
            <w:pPr>
              <w:pStyle w:val="15"/>
              <w:numPr>
                <w:ilvl w:val="0"/>
                <w:numId w:val="3"/>
              </w:numPr>
              <w:spacing w:line="360" w:lineRule="auto"/>
              <w:ind w:firstLineChars="0"/>
              <w:jc w:val="left"/>
              <w:rPr>
                <w:rFonts w:ascii="宋体" w:hAnsi="宋体" w:cs="宋体"/>
                <w:kern w:val="0"/>
                <w:szCs w:val="21"/>
              </w:rPr>
            </w:pPr>
            <w:r>
              <w:rPr>
                <w:rFonts w:hint="eastAsia" w:ascii="宋体" w:hAnsi="宋体" w:cs="宋体"/>
                <w:kern w:val="0"/>
                <w:szCs w:val="21"/>
              </w:rPr>
              <w:t>提供所投产品校园视频直播管理系统的参数有效性证明材料得</w:t>
            </w:r>
            <w:r>
              <w:rPr>
                <w:rFonts w:ascii="宋体" w:hAnsi="宋体" w:cs="宋体"/>
                <w:kern w:val="0"/>
                <w:szCs w:val="21"/>
              </w:rPr>
              <w:t>5</w:t>
            </w:r>
            <w:r>
              <w:rPr>
                <w:rFonts w:hint="eastAsia" w:ascii="宋体" w:hAnsi="宋体" w:cs="宋体"/>
                <w:kern w:val="0"/>
                <w:szCs w:val="21"/>
              </w:rPr>
              <w:t>分，不提供不得分。</w:t>
            </w:r>
          </w:p>
          <w:p>
            <w:pPr>
              <w:pStyle w:val="15"/>
              <w:numPr>
                <w:ilvl w:val="0"/>
                <w:numId w:val="3"/>
              </w:numPr>
              <w:spacing w:line="360" w:lineRule="auto"/>
              <w:ind w:firstLineChars="0"/>
              <w:jc w:val="left"/>
              <w:rPr>
                <w:rFonts w:ascii="宋体" w:hAnsi="宋体" w:cs="宋体"/>
                <w:kern w:val="0"/>
                <w:szCs w:val="21"/>
              </w:rPr>
            </w:pPr>
            <w:r>
              <w:rPr>
                <w:rFonts w:hint="eastAsia" w:ascii="宋体" w:hAnsi="宋体" w:cs="宋体"/>
                <w:kern w:val="0"/>
                <w:szCs w:val="21"/>
              </w:rPr>
              <w:t>提供所投产品校园视频点播管理系统的参数有效性证明材料得5分，不提供不得分。</w:t>
            </w:r>
          </w:p>
          <w:p>
            <w:pPr>
              <w:pStyle w:val="15"/>
              <w:numPr>
                <w:ilvl w:val="0"/>
                <w:numId w:val="3"/>
              </w:numPr>
              <w:spacing w:line="360" w:lineRule="auto"/>
              <w:ind w:firstLineChars="0"/>
              <w:jc w:val="left"/>
              <w:rPr>
                <w:rFonts w:ascii="宋体" w:hAnsi="宋体" w:cs="宋体"/>
                <w:kern w:val="0"/>
                <w:szCs w:val="21"/>
              </w:rPr>
            </w:pPr>
            <w:r>
              <w:rPr>
                <w:rFonts w:hint="eastAsia" w:ascii="宋体" w:hAnsi="宋体" w:cs="宋体"/>
                <w:kern w:val="0"/>
                <w:szCs w:val="21"/>
              </w:rPr>
              <w:t>提供主扩声功率放大器的CNAS功能性检测报告得5分，不提供不得分。</w:t>
            </w:r>
          </w:p>
          <w:p>
            <w:pPr>
              <w:spacing w:line="360" w:lineRule="auto"/>
              <w:jc w:val="left"/>
              <w:rPr>
                <w:rFonts w:ascii="宋体" w:hAnsi="宋体" w:cs="宋体"/>
                <w:kern w:val="0"/>
                <w:szCs w:val="21"/>
              </w:rPr>
            </w:pPr>
            <w:r>
              <w:rPr>
                <w:rFonts w:hint="eastAsia" w:ascii="宋体" w:hAnsi="宋体" w:cs="宋体"/>
                <w:kern w:val="0"/>
                <w:szCs w:val="21"/>
              </w:rPr>
              <w:t>注：有效证明材料包括但不限于检测报告、彩页、说明书、参数确认函等相关资料并加盖制造商公章。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vMerge w:val="restart"/>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3</w:t>
            </w:r>
          </w:p>
        </w:tc>
        <w:tc>
          <w:tcPr>
            <w:tcW w:w="3035" w:type="dxa"/>
            <w:gridSpan w:val="3"/>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商务部分</w:t>
            </w:r>
          </w:p>
        </w:tc>
        <w:tc>
          <w:tcPr>
            <w:tcW w:w="5080"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b/>
                <w:bCs/>
                <w:szCs w:val="21"/>
              </w:rPr>
            </w:pPr>
            <w:r>
              <w:rPr>
                <w:rFonts w:hint="eastAsia" w:ascii="等线" w:hAnsi="等线" w:cs="等线"/>
                <w:b/>
                <w:bCs/>
                <w:szCs w:val="21"/>
              </w:rPr>
              <w:t>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left"/>
              <w:rPr>
                <w:rFonts w:ascii="等线" w:hAnsi="等线" w:eastAsia="等线" w:cs="等线"/>
                <w:b/>
                <w:bCs/>
                <w:szCs w:val="21"/>
              </w:rPr>
            </w:pPr>
          </w:p>
        </w:tc>
        <w:tc>
          <w:tcPr>
            <w:tcW w:w="64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center"/>
              <w:rPr>
                <w:rFonts w:ascii="等线" w:hAnsi="等线" w:cs="等线"/>
                <w:szCs w:val="21"/>
              </w:rPr>
            </w:pPr>
            <w:r>
              <w:rPr>
                <w:rFonts w:hint="eastAsia" w:ascii="等线" w:hAnsi="等线" w:cs="等线"/>
                <w:szCs w:val="21"/>
              </w:rPr>
              <w:t>序号</w:t>
            </w:r>
          </w:p>
        </w:tc>
        <w:tc>
          <w:tcPr>
            <w:tcW w:w="1544"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center"/>
              <w:rPr>
                <w:rFonts w:ascii="等线" w:hAnsi="等线" w:cs="等线"/>
                <w:szCs w:val="21"/>
              </w:rPr>
            </w:pPr>
            <w:r>
              <w:rPr>
                <w:rFonts w:hint="eastAsia" w:ascii="等线" w:hAnsi="等线" w:cs="等线"/>
                <w:szCs w:val="21"/>
              </w:rPr>
              <w:t>评分因素</w:t>
            </w:r>
          </w:p>
        </w:tc>
        <w:tc>
          <w:tcPr>
            <w:tcW w:w="85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center"/>
              <w:rPr>
                <w:rFonts w:ascii="等线" w:hAnsi="等线" w:cs="等线"/>
                <w:szCs w:val="21"/>
              </w:rPr>
            </w:pPr>
            <w:r>
              <w:rPr>
                <w:rFonts w:hint="eastAsia" w:ascii="等线" w:hAnsi="等线" w:cs="等线"/>
                <w:szCs w:val="21"/>
              </w:rPr>
              <w:t>分数</w:t>
            </w:r>
          </w:p>
        </w:tc>
        <w:tc>
          <w:tcPr>
            <w:tcW w:w="50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auto"/>
              <w:jc w:val="left"/>
              <w:rPr>
                <w:rFonts w:ascii="等线" w:hAnsi="等线" w:cs="等线"/>
                <w:szCs w:val="21"/>
              </w:rPr>
            </w:pPr>
            <w:r>
              <w:rPr>
                <w:rFonts w:hint="eastAsia" w:ascii="等线" w:hAnsi="等线" w:cs="等线"/>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4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等线" w:hAnsi="等线" w:eastAsia="等线" w:cs="等线"/>
                <w:b/>
                <w:bCs/>
                <w:szCs w:val="21"/>
              </w:rPr>
            </w:pPr>
          </w:p>
        </w:tc>
        <w:tc>
          <w:tcPr>
            <w:tcW w:w="640"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szCs w:val="21"/>
              </w:rPr>
            </w:pPr>
            <w:r>
              <w:rPr>
                <w:rFonts w:hint="eastAsia" w:ascii="等线" w:hAnsi="等线" w:cs="等线"/>
                <w:szCs w:val="21"/>
              </w:rPr>
              <w:t>1</w:t>
            </w:r>
          </w:p>
        </w:tc>
        <w:tc>
          <w:tcPr>
            <w:tcW w:w="1544"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宋体" w:hAnsi="宋体" w:cs="宋体"/>
                <w:kern w:val="0"/>
                <w:szCs w:val="21"/>
              </w:rPr>
            </w:pPr>
            <w:r>
              <w:rPr>
                <w:rFonts w:hint="eastAsia" w:ascii="宋体" w:hAnsi="宋体" w:cs="宋体"/>
                <w:kern w:val="0"/>
                <w:szCs w:val="21"/>
              </w:rPr>
              <w:t>免费保修期内服务承诺</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szCs w:val="21"/>
              </w:rPr>
            </w:pPr>
            <w:r>
              <w:rPr>
                <w:rFonts w:hint="eastAsia" w:ascii="等线" w:hAnsi="等线" w:cs="等线"/>
                <w:szCs w:val="21"/>
              </w:rPr>
              <w:t>8</w:t>
            </w:r>
          </w:p>
        </w:tc>
        <w:tc>
          <w:tcPr>
            <w:tcW w:w="5080"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left"/>
              <w:rPr>
                <w:rFonts w:ascii="等线" w:hAnsi="等线" w:cs="等线"/>
                <w:szCs w:val="21"/>
              </w:rPr>
            </w:pPr>
            <w:r>
              <w:rPr>
                <w:rFonts w:hint="eastAsia" w:ascii="宋体" w:hAnsi="宋体" w:cs="宋体"/>
                <w:kern w:val="0"/>
                <w:szCs w:val="21"/>
              </w:rPr>
              <w:t xml:space="preserve">投标人应提供满足商务偏离表的售后承诺及方案，满足得8分，不满足0分。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96" w:hRule="atLeast"/>
          <w:jc w:val="center"/>
        </w:trPr>
        <w:tc>
          <w:tcPr>
            <w:tcW w:w="64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等线" w:hAnsi="等线" w:eastAsia="等线" w:cs="等线"/>
                <w:b/>
                <w:bCs/>
                <w:szCs w:val="21"/>
              </w:rPr>
            </w:pPr>
          </w:p>
        </w:tc>
        <w:tc>
          <w:tcPr>
            <w:tcW w:w="640"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szCs w:val="21"/>
              </w:rPr>
            </w:pPr>
            <w:r>
              <w:rPr>
                <w:rFonts w:hint="eastAsia" w:ascii="等线" w:hAnsi="等线" w:cs="等线"/>
                <w:szCs w:val="21"/>
              </w:rPr>
              <w:t>2</w:t>
            </w:r>
          </w:p>
        </w:tc>
        <w:tc>
          <w:tcPr>
            <w:tcW w:w="1544"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szCs w:val="21"/>
              </w:rPr>
            </w:pPr>
            <w:r>
              <w:rPr>
                <w:rFonts w:hint="eastAsia" w:ascii="等线" w:hAnsi="等线" w:cs="等线"/>
                <w:szCs w:val="21"/>
              </w:rPr>
              <w:t>服务业绩</w:t>
            </w:r>
          </w:p>
        </w:tc>
        <w:tc>
          <w:tcPr>
            <w:tcW w:w="851"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center"/>
              <w:rPr>
                <w:rFonts w:ascii="等线" w:hAnsi="等线" w:cs="等线"/>
                <w:szCs w:val="21"/>
              </w:rPr>
            </w:pPr>
            <w:r>
              <w:rPr>
                <w:rFonts w:hint="eastAsia" w:ascii="等线" w:hAnsi="等线" w:cs="等线"/>
                <w:szCs w:val="21"/>
              </w:rPr>
              <w:t>12</w:t>
            </w:r>
          </w:p>
        </w:tc>
        <w:tc>
          <w:tcPr>
            <w:tcW w:w="5080" w:type="dxa"/>
            <w:tcBorders>
              <w:top w:val="single" w:color="000000" w:sz="8" w:space="0"/>
              <w:left w:val="single" w:color="000000" w:sz="8" w:space="0"/>
              <w:bottom w:val="single" w:color="000000" w:sz="8" w:space="0"/>
              <w:right w:val="single" w:color="000000" w:sz="8" w:space="0"/>
            </w:tcBorders>
            <w:vAlign w:val="center"/>
          </w:tcPr>
          <w:p>
            <w:pPr>
              <w:wordWrap w:val="0"/>
              <w:spacing w:line="360" w:lineRule="auto"/>
              <w:jc w:val="left"/>
              <w:rPr>
                <w:rFonts w:ascii="等线" w:hAnsi="等线" w:cs="等线"/>
                <w:szCs w:val="21"/>
              </w:rPr>
            </w:pPr>
            <w:r>
              <w:rPr>
                <w:rFonts w:hint="eastAsia" w:ascii="宋体" w:hAnsi="宋体" w:cs="宋体"/>
                <w:kern w:val="0"/>
                <w:szCs w:val="21"/>
              </w:rPr>
              <w:t>近三年实施过深圳市南山区学校信息化项目，每提交一个成功案例得4分，最高得12分，不提供成功案例不得分。（提供合同关键页或中标通知书，原件备查）</w:t>
            </w:r>
          </w:p>
        </w:tc>
      </w:tr>
    </w:tbl>
    <w:p>
      <w:pPr>
        <w:spacing w:line="360" w:lineRule="auto"/>
        <w:rPr>
          <w:sz w:val="24"/>
        </w:rPr>
      </w:pP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十、商务服务需求：</w:t>
      </w:r>
    </w:p>
    <w:p>
      <w:pPr>
        <w:widowControl/>
        <w:spacing w:line="360" w:lineRule="auto"/>
        <w:jc w:val="left"/>
        <w:textAlignment w:val="baseline"/>
        <w:rPr>
          <w:rFonts w:ascii="宋体" w:hAnsi="宋体" w:cs="宋体"/>
          <w:color w:val="333333"/>
          <w:sz w:val="24"/>
        </w:rPr>
      </w:pPr>
      <w:bookmarkStart w:id="2" w:name="_Toc372725429"/>
      <w:bookmarkStart w:id="3" w:name="_Toc224307490"/>
      <w:bookmarkStart w:id="4" w:name="_Toc221526964"/>
      <w:bookmarkStart w:id="5" w:name="_Toc369686575"/>
      <w:bookmarkStart w:id="6" w:name="_Toc418514634"/>
      <w:bookmarkStart w:id="7" w:name="_Toc373345456"/>
      <w:bookmarkStart w:id="8" w:name="_Toc418515425"/>
      <w:r>
        <w:rPr>
          <w:rFonts w:hint="eastAsia" w:ascii="宋体" w:hAnsi="宋体" w:cs="宋体"/>
          <w:color w:val="333333"/>
          <w:kern w:val="0"/>
          <w:sz w:val="24"/>
        </w:rPr>
        <w:t>1.中标供应商应派有经验的技术人员到现场进行安装调试、直到正常使用，其费用由中标供应商负担。</w:t>
      </w:r>
    </w:p>
    <w:p>
      <w:pPr>
        <w:widowControl/>
        <w:spacing w:line="360" w:lineRule="auto"/>
        <w:jc w:val="left"/>
        <w:textAlignment w:val="baseline"/>
        <w:rPr>
          <w:rFonts w:ascii="宋体" w:hAnsi="宋体" w:cs="宋体"/>
          <w:color w:val="333333"/>
          <w:sz w:val="24"/>
        </w:rPr>
      </w:pPr>
      <w:r>
        <w:rPr>
          <w:rFonts w:hint="eastAsia" w:ascii="宋体" w:hAnsi="宋体" w:cs="宋体"/>
          <w:color w:val="333333"/>
          <w:kern w:val="0"/>
          <w:sz w:val="24"/>
        </w:rPr>
        <w:t>2.中标供应商应提供安装中全部所需的工具。</w:t>
      </w: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十一、验收要求：</w:t>
      </w:r>
    </w:p>
    <w:p>
      <w:pPr>
        <w:widowControl/>
        <w:spacing w:line="360" w:lineRule="auto"/>
        <w:jc w:val="left"/>
        <w:rPr>
          <w:rFonts w:ascii="宋体" w:hAnsi="宋体" w:cs="宋体"/>
          <w:color w:val="333333"/>
          <w:sz w:val="24"/>
        </w:rPr>
      </w:pPr>
      <w:r>
        <w:rPr>
          <w:rFonts w:hint="eastAsia" w:ascii="宋体" w:hAnsi="宋体" w:cs="宋体"/>
          <w:color w:val="333333"/>
          <w:kern w:val="0"/>
          <w:sz w:val="24"/>
        </w:rPr>
        <w:t>1.中标供应商已按照合同规定提供了全部产品及完整的技术资料；</w:t>
      </w:r>
    </w:p>
    <w:p>
      <w:pPr>
        <w:widowControl/>
        <w:spacing w:line="360" w:lineRule="auto"/>
        <w:jc w:val="left"/>
        <w:rPr>
          <w:rFonts w:ascii="宋体" w:hAnsi="宋体" w:cs="宋体"/>
          <w:color w:val="333333"/>
          <w:sz w:val="24"/>
        </w:rPr>
      </w:pPr>
      <w:r>
        <w:rPr>
          <w:rFonts w:hint="eastAsia" w:ascii="宋体" w:hAnsi="宋体" w:cs="宋体"/>
          <w:color w:val="333333"/>
          <w:kern w:val="0"/>
          <w:sz w:val="24"/>
        </w:rPr>
        <w:t>2.货物符合招标文件的技术规格、性能要求；</w:t>
      </w:r>
    </w:p>
    <w:p>
      <w:pPr>
        <w:widowControl/>
        <w:spacing w:line="360" w:lineRule="auto"/>
        <w:jc w:val="left"/>
        <w:rPr>
          <w:rFonts w:ascii="宋体" w:hAnsi="宋体" w:cs="宋体"/>
          <w:color w:val="333333"/>
          <w:sz w:val="24"/>
        </w:rPr>
      </w:pPr>
      <w:r>
        <w:rPr>
          <w:rFonts w:hint="eastAsia" w:ascii="宋体" w:hAnsi="宋体" w:cs="宋体"/>
          <w:color w:val="333333"/>
          <w:kern w:val="0"/>
          <w:sz w:val="24"/>
        </w:rPr>
        <w:t>3.中标供应商所提供的货物经检验合格；</w:t>
      </w:r>
    </w:p>
    <w:p>
      <w:pPr>
        <w:widowControl/>
        <w:spacing w:line="360" w:lineRule="auto"/>
        <w:jc w:val="left"/>
        <w:rPr>
          <w:rFonts w:ascii="宋体" w:hAnsi="宋体" w:cs="宋体"/>
          <w:color w:val="333333"/>
          <w:sz w:val="24"/>
        </w:rPr>
      </w:pPr>
      <w:r>
        <w:rPr>
          <w:rFonts w:hint="eastAsia" w:ascii="宋体" w:hAnsi="宋体" w:cs="宋体"/>
          <w:color w:val="333333"/>
          <w:kern w:val="0"/>
          <w:sz w:val="24"/>
        </w:rPr>
        <w:t>4.中标供应商产品经过双方检验认可后，签署验收报告，产品保修期自验收合格之日起算，由中标供应商提供产品保修文件。</w:t>
      </w:r>
    </w:p>
    <w:p>
      <w:pPr>
        <w:widowControl/>
        <w:spacing w:line="360" w:lineRule="auto"/>
        <w:outlineLvl w:val="0"/>
        <w:rPr>
          <w:rFonts w:ascii="新宋体" w:hAnsi="新宋体" w:eastAsia="新宋体" w:cs="新宋体"/>
          <w:b/>
          <w:bCs/>
          <w:sz w:val="24"/>
        </w:rPr>
      </w:pPr>
      <w:r>
        <w:rPr>
          <w:rFonts w:hint="eastAsia" w:ascii="新宋体" w:hAnsi="新宋体" w:eastAsia="新宋体" w:cs="新宋体"/>
          <w:b/>
          <w:bCs/>
          <w:sz w:val="24"/>
        </w:rPr>
        <w:t>十二、售后服务的要求：</w:t>
      </w:r>
    </w:p>
    <w:p>
      <w:pPr>
        <w:widowControl/>
        <w:spacing w:line="360" w:lineRule="auto"/>
        <w:jc w:val="left"/>
        <w:rPr>
          <w:rFonts w:ascii="宋体" w:hAnsi="宋体" w:cs="宋体"/>
          <w:color w:val="333333"/>
          <w:kern w:val="0"/>
          <w:sz w:val="24"/>
        </w:rPr>
      </w:pPr>
      <w:r>
        <w:rPr>
          <w:rFonts w:hint="eastAsia" w:ascii="宋体" w:hAnsi="宋体" w:cs="宋体"/>
          <w:color w:val="333333"/>
          <w:kern w:val="0"/>
          <w:sz w:val="24"/>
        </w:rPr>
        <w:t>1.所有产品保</w:t>
      </w:r>
      <w:r>
        <w:rPr>
          <w:rFonts w:hint="eastAsia" w:ascii="宋体" w:hAnsi="宋体" w:cs="宋体"/>
          <w:color w:val="000000" w:themeColor="text1"/>
          <w:kern w:val="0"/>
          <w:sz w:val="24"/>
          <w14:textFill>
            <w14:solidFill>
              <w14:schemeClr w14:val="tx1"/>
            </w14:solidFill>
          </w14:textFill>
        </w:rPr>
        <w:t>修期为</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年，时间自</w:t>
      </w:r>
      <w:r>
        <w:rPr>
          <w:rFonts w:hint="eastAsia" w:ascii="宋体" w:hAnsi="宋体" w:cs="宋体"/>
          <w:color w:val="333333"/>
          <w:kern w:val="0"/>
          <w:sz w:val="24"/>
        </w:rPr>
        <w:t>最终验收合格并交付使用之日起计算</w:t>
      </w:r>
    </w:p>
    <w:p>
      <w:pPr>
        <w:widowControl/>
        <w:spacing w:line="360" w:lineRule="auto"/>
        <w:jc w:val="left"/>
        <w:rPr>
          <w:rFonts w:ascii="宋体" w:hAnsi="宋体" w:cs="宋体"/>
          <w:color w:val="333333"/>
          <w:kern w:val="0"/>
          <w:sz w:val="24"/>
        </w:rPr>
      </w:pPr>
      <w:r>
        <w:rPr>
          <w:rFonts w:hint="eastAsia" w:ascii="宋体" w:hAnsi="宋体" w:cs="宋体"/>
          <w:color w:val="333333"/>
          <w:kern w:val="0"/>
          <w:sz w:val="24"/>
        </w:rPr>
        <w:t>2.服务响应：维修响应人员必须满足</w:t>
      </w:r>
      <w:r>
        <w:rPr>
          <w:rFonts w:ascii="宋体" w:hAnsi="宋体" w:cs="宋体"/>
          <w:color w:val="333333"/>
          <w:kern w:val="0"/>
          <w:sz w:val="24"/>
        </w:rPr>
        <w:t>4</w:t>
      </w:r>
      <w:r>
        <w:rPr>
          <w:rFonts w:hint="eastAsia" w:ascii="宋体" w:hAnsi="宋体" w:cs="宋体"/>
          <w:color w:val="333333"/>
          <w:kern w:val="0"/>
          <w:sz w:val="24"/>
        </w:rPr>
        <w:t>小时内到达故障现场。</w:t>
      </w:r>
    </w:p>
    <w:p>
      <w:pPr>
        <w:widowControl/>
        <w:spacing w:line="360" w:lineRule="auto"/>
        <w:jc w:val="left"/>
        <w:rPr>
          <w:rFonts w:ascii="宋体" w:hAnsi="宋体" w:cs="宋体"/>
          <w:color w:val="333333"/>
          <w:sz w:val="24"/>
        </w:rPr>
      </w:pPr>
      <w:r>
        <w:rPr>
          <w:rFonts w:hint="eastAsia" w:ascii="宋体" w:hAnsi="宋体" w:cs="宋体"/>
          <w:color w:val="333333"/>
          <w:kern w:val="0"/>
          <w:sz w:val="24"/>
        </w:rPr>
        <w:t>3.超过保修期后，供应商应提供只收取维修材料费用的维修服务。</w:t>
      </w:r>
    </w:p>
    <w:p>
      <w:pPr>
        <w:widowControl/>
        <w:spacing w:line="360" w:lineRule="auto"/>
        <w:outlineLvl w:val="0"/>
        <w:rPr>
          <w:rFonts w:ascii="新宋体" w:hAnsi="新宋体" w:eastAsia="新宋体" w:cs="新宋体"/>
          <w:b/>
          <w:bCs/>
          <w:sz w:val="24"/>
        </w:rPr>
      </w:pPr>
      <w:bookmarkStart w:id="9" w:name="_Toc157851716"/>
      <w:r>
        <w:rPr>
          <w:rFonts w:hint="eastAsia" w:ascii="新宋体" w:hAnsi="新宋体" w:eastAsia="新宋体" w:cs="新宋体"/>
          <w:b/>
          <w:bCs/>
          <w:sz w:val="24"/>
        </w:rPr>
        <w:t>十三、报价要求</w:t>
      </w:r>
      <w:bookmarkEnd w:id="9"/>
      <w:r>
        <w:rPr>
          <w:rFonts w:hint="eastAsia" w:ascii="新宋体" w:hAnsi="新宋体" w:eastAsia="新宋体" w:cs="新宋体"/>
          <w:b/>
          <w:bCs/>
          <w:sz w:val="24"/>
        </w:rPr>
        <w:t>：</w:t>
      </w:r>
    </w:p>
    <w:p>
      <w:pPr>
        <w:widowControl/>
        <w:spacing w:line="360" w:lineRule="auto"/>
        <w:jc w:val="left"/>
        <w:rPr>
          <w:rFonts w:ascii="宋体" w:hAnsi="宋体" w:cs="宋体"/>
          <w:color w:val="333333"/>
          <w:sz w:val="24"/>
        </w:rPr>
      </w:pPr>
      <w:r>
        <w:rPr>
          <w:rFonts w:hint="eastAsia" w:ascii="宋体" w:hAnsi="宋体" w:cs="宋体"/>
          <w:color w:val="333333"/>
          <w:kern w:val="0"/>
          <w:sz w:val="24"/>
        </w:rPr>
        <w:t>1.报价为全包价。报价中必须包括但不限于货物主件（配件）费、运输费、保险费、装卸费、安装费、调试费、培训费、质保期和保修期内的售后服务、税费等一切费用。</w:t>
      </w:r>
    </w:p>
    <w:p>
      <w:pPr>
        <w:widowControl/>
        <w:spacing w:line="360" w:lineRule="auto"/>
        <w:jc w:val="left"/>
        <w:rPr>
          <w:rFonts w:ascii="宋体" w:hAnsi="宋体" w:cs="宋体"/>
          <w:color w:val="333333"/>
          <w:sz w:val="24"/>
        </w:rPr>
      </w:pPr>
      <w:r>
        <w:rPr>
          <w:rFonts w:hint="eastAsia" w:ascii="宋体" w:hAnsi="宋体" w:cs="宋体"/>
          <w:color w:val="333333"/>
          <w:kern w:val="0"/>
          <w:sz w:val="24"/>
        </w:rPr>
        <w:t>2.本项目财政</w:t>
      </w:r>
      <w:r>
        <w:rPr>
          <w:rFonts w:hint="eastAsia" w:ascii="宋体" w:hAnsi="宋体" w:cs="宋体"/>
          <w:color w:val="000000" w:themeColor="text1"/>
          <w:kern w:val="0"/>
          <w:sz w:val="24"/>
          <w14:textFill>
            <w14:solidFill>
              <w14:schemeClr w14:val="tx1"/>
            </w14:solidFill>
          </w14:textFill>
        </w:rPr>
        <w:t>控制金额为</w:t>
      </w:r>
      <w:r>
        <w:rPr>
          <w:rFonts w:hint="eastAsia" w:ascii="宋体" w:hAnsi="宋体" w:cs="宋体"/>
          <w:color w:val="000000" w:themeColor="text1"/>
          <w:kern w:val="0"/>
          <w:sz w:val="24"/>
          <w:u w:val="single"/>
          <w:lang w:val="en-US" w:eastAsia="zh-CN"/>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万元，</w:t>
      </w:r>
      <w:r>
        <w:rPr>
          <w:rFonts w:hint="eastAsia" w:ascii="宋体" w:hAnsi="宋体" w:cs="宋体"/>
          <w:color w:val="333333"/>
          <w:kern w:val="0"/>
          <w:sz w:val="24"/>
        </w:rPr>
        <w:t>供应商的投标总价高于财政控制金额为无效投标。</w:t>
      </w:r>
    </w:p>
    <w:p>
      <w:pPr>
        <w:widowControl/>
        <w:spacing w:line="360" w:lineRule="auto"/>
        <w:jc w:val="left"/>
        <w:rPr>
          <w:rFonts w:ascii="宋体" w:hAnsi="宋体" w:cs="宋体"/>
          <w:color w:val="333333"/>
          <w:sz w:val="24"/>
        </w:rPr>
      </w:pPr>
      <w:r>
        <w:rPr>
          <w:rFonts w:hint="eastAsia" w:ascii="宋体" w:hAnsi="宋体" w:cs="宋体"/>
          <w:color w:val="333333"/>
          <w:kern w:val="0"/>
          <w:sz w:val="24"/>
        </w:rPr>
        <w:t>3.各投标供应商应将由于市场行情变化、汇率损失风险等各种风险因数考虑到报价中，对此采购单位不承担任何责任。</w:t>
      </w:r>
    </w:p>
    <w:p>
      <w:pPr>
        <w:widowControl/>
        <w:spacing w:line="360" w:lineRule="auto"/>
        <w:jc w:val="left"/>
        <w:rPr>
          <w:rFonts w:ascii="宋体" w:hAnsi="宋体" w:cs="宋体"/>
          <w:sz w:val="24"/>
        </w:rPr>
      </w:pPr>
      <w:r>
        <w:rPr>
          <w:rFonts w:hint="eastAsia" w:ascii="宋体" w:hAnsi="宋体" w:cs="宋体"/>
          <w:kern w:val="0"/>
          <w:sz w:val="24"/>
        </w:rPr>
        <w:t>4.采购单位对投标供应商的任何报价均视为其对本招标公告内容（包括：对设备名称、数量、配置要求、技术规格、安装条件、投标报价要求、交货日期、交货地点、付款方式、保修期限等）已经全部理解。</w:t>
      </w:r>
    </w:p>
    <w:p>
      <w:pPr>
        <w:widowControl/>
        <w:spacing w:line="360" w:lineRule="auto"/>
        <w:jc w:val="left"/>
        <w:rPr>
          <w:rFonts w:ascii="宋体" w:hAnsi="宋体" w:cs="宋体"/>
          <w:kern w:val="0"/>
          <w:sz w:val="24"/>
        </w:rPr>
      </w:pPr>
      <w:r>
        <w:rPr>
          <w:rFonts w:hint="eastAsia" w:ascii="宋体" w:hAnsi="宋体" w:cs="宋体"/>
          <w:kern w:val="0"/>
          <w:sz w:val="24"/>
        </w:rPr>
        <w:t>5.以人民币报价。</w:t>
      </w:r>
    </w:p>
    <w:bookmarkEnd w:id="2"/>
    <w:bookmarkEnd w:id="3"/>
    <w:bookmarkEnd w:id="4"/>
    <w:bookmarkEnd w:id="5"/>
    <w:bookmarkEnd w:id="6"/>
    <w:bookmarkEnd w:id="7"/>
    <w:bookmarkEnd w:id="8"/>
    <w:p>
      <w:pPr>
        <w:spacing w:line="360" w:lineRule="auto"/>
        <w:rPr>
          <w:rFonts w:ascii="新宋体" w:hAnsi="新宋体" w:eastAsia="新宋体" w:cs="新宋体"/>
          <w:sz w:val="24"/>
        </w:rPr>
      </w:pPr>
    </w:p>
    <w:p>
      <w:pPr>
        <w:spacing w:line="360" w:lineRule="auto"/>
        <w:rPr>
          <w:rFonts w:ascii="新宋体" w:hAnsi="新宋体" w:eastAsia="新宋体" w:cs="新宋体"/>
          <w:sz w:val="24"/>
        </w:rPr>
      </w:pPr>
      <w:r>
        <w:rPr>
          <w:rFonts w:hint="eastAsia" w:ascii="新宋体" w:hAnsi="新宋体" w:eastAsia="新宋体" w:cs="新宋体"/>
          <w:sz w:val="24"/>
        </w:rPr>
        <w:t xml:space="preserve">                                   深圳市南山区珠光小学</w:t>
      </w:r>
    </w:p>
    <w:p>
      <w:pPr>
        <w:spacing w:line="360" w:lineRule="auto"/>
        <w:rPr>
          <w:rFonts w:ascii="新宋体" w:hAnsi="新宋体" w:eastAsia="新宋体" w:cs="新宋体"/>
          <w:sz w:val="24"/>
        </w:rPr>
      </w:pPr>
      <w:r>
        <w:rPr>
          <w:rFonts w:hint="eastAsia" w:ascii="新宋体" w:hAnsi="新宋体" w:eastAsia="新宋体" w:cs="新宋体"/>
          <w:sz w:val="24"/>
        </w:rPr>
        <w:t xml:space="preserve">                                       2020年</w:t>
      </w:r>
      <w:r>
        <w:rPr>
          <w:rFonts w:ascii="新宋体" w:hAnsi="新宋体" w:eastAsia="新宋体" w:cs="新宋体"/>
          <w:sz w:val="24"/>
        </w:rPr>
        <w:t>06</w:t>
      </w:r>
      <w:r>
        <w:rPr>
          <w:rFonts w:hint="eastAsia" w:ascii="新宋体" w:hAnsi="新宋体" w:eastAsia="新宋体" w:cs="新宋体"/>
          <w:sz w:val="24"/>
        </w:rPr>
        <w:t>月</w:t>
      </w:r>
      <w:r>
        <w:rPr>
          <w:rFonts w:ascii="新宋体" w:hAnsi="新宋体" w:eastAsia="新宋体" w:cs="新宋体"/>
          <w:sz w:val="24"/>
        </w:rPr>
        <w:t xml:space="preserve"> </w:t>
      </w:r>
      <w:r>
        <w:rPr>
          <w:rFonts w:hint="eastAsia" w:ascii="新宋体" w:hAnsi="新宋体" w:eastAsia="新宋体" w:cs="新宋体"/>
          <w:sz w:val="24"/>
          <w:lang w:val="en-US" w:eastAsia="zh-CN"/>
        </w:rPr>
        <w:t>19</w:t>
      </w:r>
      <w:r>
        <w:rPr>
          <w:rFonts w:ascii="新宋体" w:hAnsi="新宋体" w:eastAsia="新宋体" w:cs="新宋体"/>
          <w:sz w:val="24"/>
        </w:rPr>
        <w:t xml:space="preserve"> </w:t>
      </w:r>
      <w:r>
        <w:rPr>
          <w:rFonts w:hint="eastAsia" w:ascii="新宋体" w:hAnsi="新宋体" w:eastAsia="新宋体" w:cs="新宋体"/>
          <w:sz w:val="24"/>
        </w:rPr>
        <w:t>日</w:t>
      </w:r>
    </w:p>
    <w:p>
      <w:pPr>
        <w:widowControl/>
        <w:shd w:val="clear" w:color="auto" w:fill="FFFFFF"/>
        <w:spacing w:line="360" w:lineRule="auto"/>
        <w:jc w:val="left"/>
        <w:rPr>
          <w:rFonts w:ascii="新宋体" w:hAnsi="新宋体" w:eastAsia="新宋体" w:cs="新宋体"/>
          <w:color w:val="FF0000"/>
          <w:sz w:val="24"/>
        </w:rPr>
      </w:pPr>
      <w:bookmarkStart w:id="10" w:name="_GoBack"/>
      <w:bookmarkEnd w:id="10"/>
    </w:p>
    <w:p/>
    <w:sectPr>
      <w:headerReference r:id="rId3" w:type="default"/>
      <w:footerReference r:id="rId4" w:type="default"/>
      <w:pgSz w:w="11906" w:h="16838"/>
      <w:pgMar w:top="1440" w:right="1701" w:bottom="1440" w:left="1701" w:header="709"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4"/>
      <w:tabs>
        <w:tab w:val="left" w:pos="11790"/>
        <w:tab w:val="clear" w:pos="4153"/>
        <w:tab w:val="clear" w:pos="8306"/>
      </w:tabs>
      <w:rPr>
        <w:b/>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DE92"/>
    <w:multiLevelType w:val="singleLevel"/>
    <w:tmpl w:val="0F6DDE92"/>
    <w:lvl w:ilvl="0" w:tentative="0">
      <w:start w:val="1"/>
      <w:numFmt w:val="decimal"/>
      <w:suff w:val="nothing"/>
      <w:lvlText w:val="%1、"/>
      <w:lvlJc w:val="left"/>
    </w:lvl>
  </w:abstractNum>
  <w:abstractNum w:abstractNumId="1">
    <w:nsid w:val="2FEE0ACD"/>
    <w:multiLevelType w:val="multilevel"/>
    <w:tmpl w:val="2FEE0A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0E32DE"/>
    <w:multiLevelType w:val="singleLevel"/>
    <w:tmpl w:val="760E32DE"/>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27"/>
    <w:rsid w:val="00030751"/>
    <w:rsid w:val="001424E7"/>
    <w:rsid w:val="00150D9D"/>
    <w:rsid w:val="00181473"/>
    <w:rsid w:val="001F0B0B"/>
    <w:rsid w:val="001F40A4"/>
    <w:rsid w:val="00291ABB"/>
    <w:rsid w:val="002E63B7"/>
    <w:rsid w:val="00320725"/>
    <w:rsid w:val="00362B85"/>
    <w:rsid w:val="003E2E27"/>
    <w:rsid w:val="003F7041"/>
    <w:rsid w:val="0049313B"/>
    <w:rsid w:val="00495FB7"/>
    <w:rsid w:val="005160FE"/>
    <w:rsid w:val="005A537F"/>
    <w:rsid w:val="005D7CA5"/>
    <w:rsid w:val="00645521"/>
    <w:rsid w:val="007130E2"/>
    <w:rsid w:val="00874844"/>
    <w:rsid w:val="008B6F75"/>
    <w:rsid w:val="00944DD9"/>
    <w:rsid w:val="009477AA"/>
    <w:rsid w:val="00A830AD"/>
    <w:rsid w:val="00BE4D4F"/>
    <w:rsid w:val="00C01977"/>
    <w:rsid w:val="00D7484C"/>
    <w:rsid w:val="00D87FAC"/>
    <w:rsid w:val="00DD1C81"/>
    <w:rsid w:val="00ED34A0"/>
    <w:rsid w:val="2FEA090A"/>
    <w:rsid w:val="372A3BBE"/>
    <w:rsid w:val="3D74164D"/>
    <w:rsid w:val="41C64EA4"/>
    <w:rsid w:val="66A22494"/>
    <w:rsid w:val="72C8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1"/>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9"/>
    <w:semiHidden/>
    <w:unhideWhenUsed/>
    <w:uiPriority w:val="99"/>
    <w:rPr>
      <w:b/>
      <w:bCs/>
    </w:rPr>
  </w:style>
  <w:style w:type="character" w:styleId="9">
    <w:name w:val="page number"/>
    <w:uiPriority w:val="0"/>
    <w:rPr>
      <w:kern w:val="0"/>
      <w:sz w:val="24"/>
      <w:szCs w:val="20"/>
    </w:rPr>
  </w:style>
  <w:style w:type="character" w:styleId="10">
    <w:name w:val="annotation reference"/>
    <w:basedOn w:val="8"/>
    <w:semiHidden/>
    <w:unhideWhenUsed/>
    <w:qFormat/>
    <w:uiPriority w:val="99"/>
    <w:rPr>
      <w:sz w:val="21"/>
      <w:szCs w:val="21"/>
    </w:rPr>
  </w:style>
  <w:style w:type="character" w:customStyle="1" w:styleId="11">
    <w:name w:val="页脚 字符"/>
    <w:link w:val="4"/>
    <w:qFormat/>
    <w:uiPriority w:val="0"/>
    <w:rPr>
      <w:sz w:val="18"/>
      <w:szCs w:val="18"/>
    </w:rPr>
  </w:style>
  <w:style w:type="character" w:customStyle="1" w:styleId="12">
    <w:name w:val="页眉 字符"/>
    <w:link w:val="5"/>
    <w:qFormat/>
    <w:uiPriority w:val="0"/>
    <w:rPr>
      <w:sz w:val="18"/>
      <w:szCs w:val="18"/>
    </w:rPr>
  </w:style>
  <w:style w:type="character" w:customStyle="1" w:styleId="13">
    <w:name w:val="页脚 字符1"/>
    <w:basedOn w:val="8"/>
    <w:semiHidden/>
    <w:qFormat/>
    <w:uiPriority w:val="99"/>
    <w:rPr>
      <w:rFonts w:ascii="Times New Roman" w:hAnsi="Times New Roman" w:eastAsia="宋体" w:cs="Times New Roman"/>
      <w:sz w:val="18"/>
      <w:szCs w:val="18"/>
    </w:rPr>
  </w:style>
  <w:style w:type="character" w:customStyle="1" w:styleId="14">
    <w:name w:val="页眉 字符1"/>
    <w:basedOn w:val="8"/>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paragraph" w:customStyle="1" w:styleId="16">
    <w:name w:val="正文 New New New New New"/>
    <w:basedOn w:val="1"/>
    <w:qFormat/>
    <w:uiPriority w:val="0"/>
    <w:rPr>
      <w:szCs w:val="21"/>
    </w:rPr>
  </w:style>
  <w:style w:type="character" w:customStyle="1" w:styleId="17">
    <w:name w:val="批注框文本 字符"/>
    <w:basedOn w:val="8"/>
    <w:link w:val="3"/>
    <w:semiHidden/>
    <w:qFormat/>
    <w:uiPriority w:val="99"/>
    <w:rPr>
      <w:rFonts w:ascii="Times New Roman" w:hAnsi="Times New Roman" w:eastAsia="宋体" w:cs="Times New Roman"/>
      <w:kern w:val="2"/>
      <w:sz w:val="18"/>
      <w:szCs w:val="18"/>
    </w:rPr>
  </w:style>
  <w:style w:type="character" w:customStyle="1" w:styleId="18">
    <w:name w:val="批注文字 字符"/>
    <w:basedOn w:val="8"/>
    <w:link w:val="2"/>
    <w:semiHidden/>
    <w:qFormat/>
    <w:uiPriority w:val="99"/>
    <w:rPr>
      <w:rFonts w:ascii="Times New Roman" w:hAnsi="Times New Roman" w:eastAsia="宋体" w:cs="Times New Roman"/>
      <w:kern w:val="2"/>
      <w:sz w:val="21"/>
      <w:szCs w:val="24"/>
    </w:rPr>
  </w:style>
  <w:style w:type="character" w:customStyle="1" w:styleId="19">
    <w:name w:val="批注主题 字符"/>
    <w:basedOn w:val="18"/>
    <w:link w:val="6"/>
    <w:semiHidden/>
    <w:uiPriority w:val="99"/>
    <w:rPr>
      <w:rFonts w:ascii="Times New Roman" w:hAnsi="Times New Roman" w:eastAsia="宋体" w:cs="Times New Roman"/>
      <w:b/>
      <w:bCs/>
      <w:kern w:val="2"/>
      <w:sz w:val="21"/>
      <w:szCs w:val="24"/>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1209</Words>
  <Characters>6892</Characters>
  <Lines>57</Lines>
  <Paragraphs>16</Paragraphs>
  <TotalTime>34</TotalTime>
  <ScaleCrop>false</ScaleCrop>
  <LinksUpToDate>false</LinksUpToDate>
  <CharactersWithSpaces>8085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2020-06-17T06:59:00Z</dcterms:created>
  <dc:creator>chen yc</dc:creator>
  <cp:lastModifiedBy>李宽民</cp:lastModifiedBy>
  <dcterms:modified xsi:type="dcterms:W3CDTF">2020-06-19T01:06:41Z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